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7082E" w14:textId="77777777" w:rsidR="008B5F4A" w:rsidRDefault="008B5F4A" w:rsidP="008B5F4A">
      <w:pPr>
        <w:pStyle w:val="Heading1"/>
        <w:spacing w:line="276" w:lineRule="auto"/>
        <w:jc w:val="center"/>
      </w:pPr>
      <w:bookmarkStart w:id="0" w:name="_Toc414196363"/>
      <w:bookmarkStart w:id="1" w:name="_Toc290127982"/>
    </w:p>
    <w:p w14:paraId="2B11CD84" w14:textId="77777777" w:rsidR="008B5F4A" w:rsidRDefault="008B5F4A" w:rsidP="008B5F4A">
      <w:pPr>
        <w:pStyle w:val="Heading1"/>
        <w:spacing w:line="276" w:lineRule="auto"/>
        <w:jc w:val="center"/>
      </w:pPr>
    </w:p>
    <w:p w14:paraId="650614A5" w14:textId="77777777" w:rsidR="008B5F4A" w:rsidRDefault="008B5F4A" w:rsidP="008B5F4A">
      <w:pPr>
        <w:pStyle w:val="Heading1"/>
        <w:spacing w:line="276" w:lineRule="auto"/>
        <w:jc w:val="center"/>
      </w:pPr>
    </w:p>
    <w:p w14:paraId="3552FA06" w14:textId="77777777" w:rsidR="008B5F4A" w:rsidRDefault="008B5F4A" w:rsidP="008B5F4A">
      <w:pPr>
        <w:pStyle w:val="Heading1"/>
        <w:spacing w:line="276" w:lineRule="auto"/>
        <w:jc w:val="center"/>
      </w:pPr>
    </w:p>
    <w:p w14:paraId="4B4E8A3A" w14:textId="77777777" w:rsidR="008B5F4A" w:rsidRDefault="008B5F4A" w:rsidP="008B5F4A">
      <w:pPr>
        <w:pStyle w:val="Heading1"/>
        <w:spacing w:line="276" w:lineRule="auto"/>
        <w:jc w:val="center"/>
      </w:pPr>
    </w:p>
    <w:p w14:paraId="1F19A8F1" w14:textId="77777777" w:rsidR="008B5F4A" w:rsidRDefault="008B5F4A" w:rsidP="008B5F4A">
      <w:pPr>
        <w:pStyle w:val="Heading1"/>
        <w:spacing w:line="276" w:lineRule="auto"/>
        <w:jc w:val="center"/>
      </w:pPr>
    </w:p>
    <w:p w14:paraId="34AC3027" w14:textId="77777777" w:rsidR="008B5F4A" w:rsidRDefault="008B5F4A" w:rsidP="008B5F4A">
      <w:pPr>
        <w:pStyle w:val="Heading1"/>
        <w:spacing w:line="276" w:lineRule="auto"/>
        <w:jc w:val="center"/>
      </w:pPr>
      <w:r>
        <w:t>Continuous Disclosure Policy</w:t>
      </w:r>
    </w:p>
    <w:p w14:paraId="148BABB1" w14:textId="77777777" w:rsidR="008B5F4A" w:rsidRPr="008B5F4A" w:rsidRDefault="008B5F4A" w:rsidP="008B5F4A">
      <w:pPr>
        <w:pStyle w:val="Heading1"/>
        <w:spacing w:line="276" w:lineRule="auto"/>
        <w:jc w:val="center"/>
      </w:pPr>
      <w:r w:rsidRPr="008B5F4A">
        <w:t>Megaport Limited</w:t>
      </w:r>
    </w:p>
    <w:p w14:paraId="03336F72" w14:textId="77777777" w:rsidR="008B5F4A" w:rsidRDefault="008B5F4A">
      <w:pPr>
        <w:widowControl/>
        <w:autoSpaceDE/>
        <w:autoSpaceDN/>
        <w:adjustRightInd/>
        <w:spacing w:after="0" w:line="240" w:lineRule="auto"/>
        <w:rPr>
          <w:color w:val="CD0920"/>
          <w:sz w:val="48"/>
          <w:szCs w:val="48"/>
        </w:rPr>
      </w:pPr>
      <w:r>
        <w:br w:type="page"/>
      </w:r>
    </w:p>
    <w:p w14:paraId="4663A16A" w14:textId="3F322E9F" w:rsidR="00C168DB" w:rsidRPr="001E2A02" w:rsidRDefault="006D2743" w:rsidP="00375AB7">
      <w:pPr>
        <w:pStyle w:val="Heading1"/>
        <w:spacing w:line="276" w:lineRule="auto"/>
        <w:jc w:val="both"/>
      </w:pPr>
      <w:r w:rsidRPr="001E2A02">
        <w:lastRenderedPageBreak/>
        <w:t>Introduction</w:t>
      </w:r>
      <w:bookmarkEnd w:id="0"/>
      <w:bookmarkEnd w:id="1"/>
    </w:p>
    <w:p w14:paraId="4D4A4730" w14:textId="08DD7A6C" w:rsidR="00375DD4" w:rsidRPr="001E2A02" w:rsidRDefault="006D2743" w:rsidP="00375AB7">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 xml:space="preserve">As an ASX listed company, </w:t>
      </w:r>
      <w:r w:rsidR="008B5F4A">
        <w:rPr>
          <w:rFonts w:eastAsia="Times New Roman" w:cs="Times New Roman"/>
          <w:color w:val="auto"/>
          <w:sz w:val="20"/>
          <w:szCs w:val="24"/>
          <w:lang w:val="en-AU"/>
        </w:rPr>
        <w:t>Megaport</w:t>
      </w:r>
      <w:r w:rsidRPr="001E2A02">
        <w:rPr>
          <w:rFonts w:eastAsia="Times New Roman" w:cs="Times New Roman"/>
          <w:color w:val="auto"/>
          <w:sz w:val="20"/>
          <w:szCs w:val="24"/>
          <w:lang w:val="en-AU"/>
        </w:rPr>
        <w:t xml:space="preserve"> is required to comply with the ‘continuous disclosure regime’ entrenched by section 674 of the Corporations Act 2001 and </w:t>
      </w:r>
      <w:r w:rsidR="00375DD4" w:rsidRPr="001E2A02">
        <w:rPr>
          <w:rFonts w:eastAsia="Times New Roman" w:cs="Times New Roman"/>
          <w:color w:val="auto"/>
          <w:sz w:val="20"/>
          <w:szCs w:val="24"/>
          <w:lang w:val="en-AU"/>
        </w:rPr>
        <w:t xml:space="preserve">the </w:t>
      </w:r>
      <w:r w:rsidRPr="001E2A02">
        <w:rPr>
          <w:rFonts w:eastAsia="Times New Roman" w:cs="Times New Roman"/>
          <w:color w:val="auto"/>
          <w:sz w:val="20"/>
          <w:szCs w:val="24"/>
          <w:lang w:val="en-AU"/>
        </w:rPr>
        <w:t>ASX Listing Rule</w:t>
      </w:r>
      <w:r w:rsidR="00375DD4" w:rsidRPr="001E2A02">
        <w:rPr>
          <w:rFonts w:eastAsia="Times New Roman" w:cs="Times New Roman"/>
          <w:color w:val="auto"/>
          <w:sz w:val="20"/>
          <w:szCs w:val="24"/>
          <w:lang w:val="en-AU"/>
        </w:rPr>
        <w:t>s</w:t>
      </w:r>
      <w:r w:rsidRPr="001E2A02">
        <w:rPr>
          <w:rFonts w:eastAsia="Times New Roman" w:cs="Times New Roman"/>
          <w:color w:val="auto"/>
          <w:sz w:val="20"/>
          <w:szCs w:val="24"/>
          <w:lang w:val="en-AU"/>
        </w:rPr>
        <w:t xml:space="preserve">.  The continuous disclosure regime requires listed entities (such as </w:t>
      </w:r>
      <w:r w:rsidR="008B5F4A">
        <w:rPr>
          <w:rFonts w:eastAsia="Times New Roman" w:cs="Times New Roman"/>
          <w:color w:val="auto"/>
          <w:sz w:val="20"/>
          <w:szCs w:val="24"/>
          <w:lang w:val="en-AU"/>
        </w:rPr>
        <w:t>Megaport</w:t>
      </w:r>
      <w:r w:rsidRPr="001E2A02">
        <w:rPr>
          <w:rFonts w:eastAsia="Times New Roman" w:cs="Times New Roman"/>
          <w:color w:val="auto"/>
          <w:sz w:val="20"/>
          <w:szCs w:val="24"/>
          <w:lang w:val="en-AU"/>
        </w:rPr>
        <w:t xml:space="preserve">) to immediately disclose information which may materially affect the price or value of the </w:t>
      </w:r>
      <w:r w:rsidR="00393E01" w:rsidRPr="001E2A02">
        <w:rPr>
          <w:rFonts w:eastAsia="Times New Roman" w:cs="Times New Roman"/>
          <w:color w:val="auto"/>
          <w:sz w:val="20"/>
          <w:szCs w:val="24"/>
          <w:lang w:val="en-AU"/>
        </w:rPr>
        <w:t>Securities</w:t>
      </w:r>
      <w:r w:rsidRPr="001E2A02">
        <w:rPr>
          <w:rFonts w:eastAsia="Times New Roman" w:cs="Times New Roman"/>
          <w:color w:val="auto"/>
          <w:sz w:val="20"/>
          <w:szCs w:val="24"/>
          <w:lang w:val="en-AU"/>
        </w:rPr>
        <w:t xml:space="preserve">.  The continuous disclosure regime reflects the expectation of investors and the market to have ready access to that type of information.  </w:t>
      </w:r>
    </w:p>
    <w:p w14:paraId="7D3F8CBD" w14:textId="4C715BDB" w:rsidR="006D2743" w:rsidRPr="001E2A02" w:rsidRDefault="006D2743" w:rsidP="00375AB7">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 xml:space="preserve">This policy reflects how </w:t>
      </w:r>
      <w:r w:rsidR="008B5F4A">
        <w:rPr>
          <w:rFonts w:eastAsia="Times New Roman" w:cs="Times New Roman"/>
          <w:color w:val="auto"/>
          <w:sz w:val="20"/>
          <w:szCs w:val="24"/>
          <w:lang w:val="en-AU"/>
        </w:rPr>
        <w:t>Megaport</w:t>
      </w:r>
      <w:r w:rsidRPr="001E2A02">
        <w:rPr>
          <w:rFonts w:eastAsia="Times New Roman" w:cs="Times New Roman"/>
          <w:color w:val="auto"/>
          <w:sz w:val="20"/>
          <w:szCs w:val="24"/>
          <w:lang w:val="en-AU"/>
        </w:rPr>
        <w:t xml:space="preserve"> will deal with its continuous disclosure obligations</w:t>
      </w:r>
      <w:r w:rsidR="00375DD4" w:rsidRPr="001E2A02">
        <w:rPr>
          <w:rFonts w:eastAsia="Times New Roman" w:cs="Times New Roman"/>
          <w:color w:val="auto"/>
          <w:sz w:val="20"/>
          <w:szCs w:val="24"/>
          <w:lang w:val="en-AU"/>
        </w:rPr>
        <w:t>, establishes a procedure for compliance with those obligations and is a general guide to complex legal provisions relating to continuous disclosure.  This policy should not be taken as legal advice</w:t>
      </w:r>
      <w:r w:rsidR="00AA3CBD">
        <w:rPr>
          <w:rFonts w:eastAsia="Times New Roman" w:cs="Times New Roman"/>
          <w:color w:val="auto"/>
          <w:sz w:val="20"/>
          <w:szCs w:val="24"/>
          <w:lang w:val="en-AU"/>
        </w:rPr>
        <w:t>.</w:t>
      </w:r>
    </w:p>
    <w:p w14:paraId="7209D5E6" w14:textId="5C931C3C" w:rsidR="00821120" w:rsidRDefault="00375DD4" w:rsidP="001E2A02">
      <w:pPr>
        <w:spacing w:line="276" w:lineRule="auto"/>
        <w:jc w:val="both"/>
        <w:rPr>
          <w:rFonts w:eastAsia="Times New Roman" w:cs="Times New Roman"/>
          <w:szCs w:val="24"/>
          <w:lang w:val="en-AU"/>
        </w:rPr>
      </w:pPr>
      <w:r w:rsidRPr="001E2A02">
        <w:rPr>
          <w:rFonts w:eastAsia="Times New Roman" w:cs="Times New Roman"/>
          <w:szCs w:val="24"/>
          <w:lang w:val="en-AU"/>
        </w:rPr>
        <w:t>This policy applies to all Directors, Senior Executive Management, employees and consultants of the Company and Group</w:t>
      </w:r>
      <w:r w:rsidR="00821120" w:rsidRPr="001E2A02">
        <w:rPr>
          <w:rFonts w:eastAsia="Times New Roman" w:cs="Times New Roman"/>
          <w:szCs w:val="24"/>
          <w:lang w:val="en-AU"/>
        </w:rPr>
        <w:t xml:space="preserve"> and failure to comply with this policy may result in a breach of the Corporations Act or the ASX Listing Rules and to personal penalties for Directors and officers.  Any breach of this policy will be regarded as serious misconduct and may lead to termination of employment.  </w:t>
      </w:r>
    </w:p>
    <w:p w14:paraId="00C127CF" w14:textId="77777777" w:rsidR="00AA3CBD" w:rsidRPr="001E2A02" w:rsidRDefault="00AA3CBD" w:rsidP="001E2A02">
      <w:pPr>
        <w:spacing w:line="276" w:lineRule="auto"/>
        <w:jc w:val="both"/>
        <w:rPr>
          <w:rFonts w:eastAsia="Times New Roman" w:cs="Times New Roman"/>
          <w:szCs w:val="24"/>
          <w:lang w:val="en-AU"/>
        </w:rPr>
      </w:pPr>
    </w:p>
    <w:p w14:paraId="57C769EB" w14:textId="391641F8" w:rsidR="00821120" w:rsidRPr="001E2A02" w:rsidRDefault="00821120" w:rsidP="00375AB7">
      <w:pPr>
        <w:pStyle w:val="Heading1"/>
        <w:spacing w:line="276" w:lineRule="auto"/>
        <w:jc w:val="both"/>
      </w:pPr>
      <w:bookmarkStart w:id="2" w:name="_Toc414196364"/>
      <w:bookmarkStart w:id="3" w:name="_Toc290127983"/>
      <w:r w:rsidRPr="001E2A02">
        <w:t>Legal Obligations</w:t>
      </w:r>
    </w:p>
    <w:p w14:paraId="648678B6" w14:textId="77777777" w:rsidR="00821120" w:rsidRPr="001E2A02" w:rsidRDefault="00821120" w:rsidP="00375AB7">
      <w:pPr>
        <w:pStyle w:val="Heading2"/>
        <w:spacing w:line="276" w:lineRule="auto"/>
        <w:jc w:val="both"/>
      </w:pPr>
      <w:r w:rsidRPr="001E2A02">
        <w:t>Need for this policy</w:t>
      </w:r>
    </w:p>
    <w:p w14:paraId="0C34866B" w14:textId="1FFD0601" w:rsidR="00821120" w:rsidRPr="001E2A02" w:rsidRDefault="00821120" w:rsidP="00215D7F">
      <w:pPr>
        <w:spacing w:after="480" w:line="276" w:lineRule="auto"/>
        <w:jc w:val="both"/>
        <w:rPr>
          <w:rFonts w:eastAsia="Times New Roman" w:cs="Times New Roman"/>
          <w:szCs w:val="24"/>
          <w:lang w:val="en-AU"/>
        </w:rPr>
      </w:pPr>
      <w:r w:rsidRPr="001E2A02">
        <w:rPr>
          <w:rFonts w:eastAsia="Times New Roman" w:cs="Times New Roman"/>
          <w:szCs w:val="24"/>
          <w:lang w:val="en-AU"/>
        </w:rPr>
        <w:t>The law imposes various obligations on the Company to keep the market fully informed of Price Sensitive Information and to correct any material mistake or misinformation in the market.  In the administration of this Policy, it will be the responsibility of Executive Management, in consultation with the Board as necessary</w:t>
      </w:r>
      <w:r w:rsidR="00375AB7" w:rsidRPr="001E2A02">
        <w:rPr>
          <w:rFonts w:eastAsia="Times New Roman" w:cs="Times New Roman"/>
          <w:szCs w:val="24"/>
          <w:lang w:val="en-AU"/>
        </w:rPr>
        <w:t>,</w:t>
      </w:r>
      <w:r w:rsidRPr="001E2A02">
        <w:rPr>
          <w:rFonts w:eastAsia="Times New Roman" w:cs="Times New Roman"/>
          <w:szCs w:val="24"/>
          <w:lang w:val="en-AU"/>
        </w:rPr>
        <w:t xml:space="preserve"> to determine whether information is</w:t>
      </w:r>
      <w:r w:rsidR="00375AB7" w:rsidRPr="001E2A02">
        <w:rPr>
          <w:rFonts w:eastAsia="Times New Roman" w:cs="Times New Roman"/>
          <w:szCs w:val="24"/>
          <w:lang w:val="en-AU"/>
        </w:rPr>
        <w:t>,</w:t>
      </w:r>
      <w:r w:rsidRPr="001E2A02">
        <w:rPr>
          <w:rFonts w:eastAsia="Times New Roman" w:cs="Times New Roman"/>
          <w:szCs w:val="24"/>
          <w:lang w:val="en-AU"/>
        </w:rPr>
        <w:t xml:space="preserve"> or is likely to become</w:t>
      </w:r>
      <w:r w:rsidR="00375AB7" w:rsidRPr="001E2A02">
        <w:rPr>
          <w:rFonts w:eastAsia="Times New Roman" w:cs="Times New Roman"/>
          <w:szCs w:val="24"/>
          <w:lang w:val="en-AU"/>
        </w:rPr>
        <w:t>,</w:t>
      </w:r>
      <w:r w:rsidRPr="001E2A02">
        <w:rPr>
          <w:rFonts w:eastAsia="Times New Roman" w:cs="Times New Roman"/>
          <w:szCs w:val="24"/>
          <w:lang w:val="en-AU"/>
        </w:rPr>
        <w:t xml:space="preserve"> Price Sensitive Information and </w:t>
      </w:r>
      <w:r w:rsidR="00375AB7" w:rsidRPr="001E2A02">
        <w:rPr>
          <w:rFonts w:eastAsia="Times New Roman" w:cs="Times New Roman"/>
          <w:szCs w:val="24"/>
          <w:lang w:val="en-AU"/>
        </w:rPr>
        <w:t xml:space="preserve">whether </w:t>
      </w:r>
      <w:r w:rsidRPr="001E2A02">
        <w:rPr>
          <w:rFonts w:eastAsia="Times New Roman" w:cs="Times New Roman"/>
          <w:szCs w:val="24"/>
          <w:lang w:val="en-AU"/>
        </w:rPr>
        <w:t>disclosure of that information is required or an exception to disclosure applies.</w:t>
      </w:r>
    </w:p>
    <w:p w14:paraId="0DA67521" w14:textId="77777777" w:rsidR="00821120" w:rsidRPr="001E2A02" w:rsidRDefault="00821120" w:rsidP="00375AB7">
      <w:pPr>
        <w:pStyle w:val="Heading2"/>
        <w:spacing w:line="276" w:lineRule="auto"/>
        <w:jc w:val="both"/>
      </w:pPr>
      <w:r w:rsidRPr="001E2A02">
        <w:t>Source of obligations</w:t>
      </w:r>
    </w:p>
    <w:p w14:paraId="0A072247" w14:textId="09D0CAED" w:rsidR="006D2743" w:rsidRPr="001E2A02" w:rsidDel="000E0B2D" w:rsidRDefault="00821120" w:rsidP="00215D7F">
      <w:pPr>
        <w:spacing w:after="480" w:line="276" w:lineRule="auto"/>
        <w:jc w:val="both"/>
        <w:rPr>
          <w:rFonts w:eastAsia="Times New Roman" w:cs="Times New Roman"/>
          <w:szCs w:val="24"/>
          <w:lang w:val="en-AU"/>
        </w:rPr>
      </w:pPr>
      <w:r w:rsidRPr="001E2A02">
        <w:rPr>
          <w:rFonts w:eastAsia="Times New Roman" w:cs="Times New Roman"/>
          <w:szCs w:val="24"/>
          <w:lang w:val="en-AU"/>
        </w:rPr>
        <w:t xml:space="preserve">ASX Listing Rule 3.1 requires ASX listed entities to immediately disclose Price Sensitive Information to the market by notifying ASX (unless an exception applies).  ASX Listing Rule 3.1 is given legislative support by section 674 of the Corporations Act, which imposes statutory liability for its breach in certain circumstances.  </w:t>
      </w:r>
      <w:bookmarkEnd w:id="2"/>
      <w:bookmarkEnd w:id="3"/>
    </w:p>
    <w:p w14:paraId="26D8725B" w14:textId="7FB93D33" w:rsidR="00821120" w:rsidRPr="001E2A02" w:rsidRDefault="00821120" w:rsidP="00375AB7">
      <w:pPr>
        <w:pStyle w:val="Heading2"/>
        <w:spacing w:line="276" w:lineRule="auto"/>
        <w:jc w:val="both"/>
      </w:pPr>
      <w:bookmarkStart w:id="4" w:name="_Toc414196365"/>
      <w:bookmarkStart w:id="5" w:name="_Toc290127984"/>
      <w:r w:rsidRPr="001E2A02">
        <w:t>What is Price Sensitive Information?</w:t>
      </w:r>
    </w:p>
    <w:p w14:paraId="7616889A" w14:textId="71F935B8" w:rsidR="006D0EB3" w:rsidRPr="001E2A02" w:rsidRDefault="00821120" w:rsidP="001E2A02">
      <w:pPr>
        <w:spacing w:line="276" w:lineRule="auto"/>
        <w:jc w:val="both"/>
      </w:pPr>
      <w:r w:rsidRPr="001E2A02">
        <w:t>Price Sensitive Information is any information concerning the Group that a reasonable person would expect to have a material effect on the price or value of Securities and is likely to include information that relates to the affairs of the Group, may give a person proposing to deal in Securities an advantage over other persons holding or dealing in Securities and</w:t>
      </w:r>
      <w:r w:rsidR="00375AB7" w:rsidRPr="001E2A02">
        <w:t xml:space="preserve"> </w:t>
      </w:r>
      <w:r w:rsidRPr="001E2A02">
        <w:t>if it were generally available, would be likely to materially affect the price of the Securities in question</w:t>
      </w:r>
      <w:r w:rsidRPr="001E2A02">
        <w:rPr>
          <w:b/>
          <w:bCs/>
          <w:i/>
          <w:iCs/>
        </w:rPr>
        <w:t xml:space="preserve">. </w:t>
      </w:r>
      <w:r w:rsidR="006D0EB3" w:rsidRPr="001E2A02">
        <w:t xml:space="preserve">Information about the Group regarding any of the following subjects which is not </w:t>
      </w:r>
      <w:r w:rsidR="00375AB7" w:rsidRPr="001E2A02">
        <w:t xml:space="preserve">generally available to the </w:t>
      </w:r>
      <w:r w:rsidR="006D0EB3" w:rsidRPr="001E2A02">
        <w:t>public might also constitute Price Sensitive Information:</w:t>
      </w:r>
    </w:p>
    <w:p w14:paraId="40227990" w14:textId="04F038E2" w:rsidR="00821120" w:rsidRPr="001E2A02" w:rsidRDefault="006D0EB3" w:rsidP="001E2A02">
      <w:pPr>
        <w:pStyle w:val="Heading4"/>
        <w:numPr>
          <w:ilvl w:val="0"/>
          <w:numId w:val="31"/>
        </w:numPr>
        <w:spacing w:line="276" w:lineRule="auto"/>
        <w:jc w:val="both"/>
        <w:rPr>
          <w:rFonts w:ascii="Arial" w:eastAsia="Times New Roman" w:hAnsi="Arial" w:cs="Times New Roman"/>
          <w:color w:val="auto"/>
          <w:szCs w:val="20"/>
          <w:lang w:val="en-AU"/>
        </w:rPr>
      </w:pPr>
      <w:r w:rsidRPr="001E2A02">
        <w:rPr>
          <w:rFonts w:ascii="Arial" w:eastAsia="Times New Roman" w:hAnsi="Arial" w:cs="Times New Roman"/>
          <w:b w:val="0"/>
          <w:bCs w:val="0"/>
          <w:i w:val="0"/>
          <w:iCs w:val="0"/>
          <w:color w:val="auto"/>
          <w:szCs w:val="20"/>
          <w:lang w:val="en-AU"/>
        </w:rPr>
        <w:t>transactions that will lead to a significant change in the nature of scale of the Company’s activities or that involve a material acquisition or disposal;</w:t>
      </w:r>
    </w:p>
    <w:p w14:paraId="5302D071" w14:textId="77777777" w:rsidR="006D0EB3" w:rsidRPr="001E2A02" w:rsidRDefault="006D0EB3" w:rsidP="001E2A02">
      <w:pPr>
        <w:pStyle w:val="Heading4"/>
        <w:numPr>
          <w:ilvl w:val="0"/>
          <w:numId w:val="31"/>
        </w:numPr>
        <w:spacing w:line="276" w:lineRule="auto"/>
        <w:jc w:val="both"/>
        <w:rPr>
          <w:rFonts w:ascii="Arial" w:eastAsia="Times New Roman" w:hAnsi="Arial" w:cs="Times New Roman"/>
          <w:b w:val="0"/>
          <w:bCs w:val="0"/>
          <w:i w:val="0"/>
          <w:iCs w:val="0"/>
          <w:color w:val="auto"/>
          <w:szCs w:val="20"/>
          <w:lang w:val="en-AU"/>
        </w:rPr>
      </w:pPr>
      <w:r w:rsidRPr="001E2A02">
        <w:rPr>
          <w:rFonts w:ascii="Arial" w:eastAsia="Times New Roman" w:hAnsi="Arial" w:cs="Times New Roman"/>
          <w:b w:val="0"/>
          <w:bCs w:val="0"/>
          <w:i w:val="0"/>
          <w:iCs w:val="0"/>
          <w:color w:val="auto"/>
          <w:szCs w:val="20"/>
          <w:lang w:val="en-AU"/>
        </w:rPr>
        <w:t>the granting or withdrawal of a material licence;</w:t>
      </w:r>
    </w:p>
    <w:p w14:paraId="2E0369E6" w14:textId="77777777" w:rsidR="006D0EB3" w:rsidRPr="001E2A02" w:rsidRDefault="006D0EB3" w:rsidP="001E2A02">
      <w:pPr>
        <w:pStyle w:val="Heading4"/>
        <w:numPr>
          <w:ilvl w:val="0"/>
          <w:numId w:val="31"/>
        </w:numPr>
        <w:spacing w:line="276" w:lineRule="auto"/>
        <w:jc w:val="both"/>
        <w:rPr>
          <w:rFonts w:ascii="Arial" w:eastAsia="Times New Roman" w:hAnsi="Arial" w:cs="Times New Roman"/>
          <w:b w:val="0"/>
          <w:bCs w:val="0"/>
          <w:i w:val="0"/>
          <w:iCs w:val="0"/>
          <w:color w:val="auto"/>
          <w:szCs w:val="20"/>
          <w:lang w:val="en-AU"/>
        </w:rPr>
      </w:pPr>
      <w:r w:rsidRPr="001E2A02">
        <w:rPr>
          <w:rFonts w:ascii="Arial" w:eastAsia="Times New Roman" w:hAnsi="Arial" w:cs="Times New Roman"/>
          <w:b w:val="0"/>
          <w:bCs w:val="0"/>
          <w:i w:val="0"/>
          <w:iCs w:val="0"/>
          <w:color w:val="auto"/>
          <w:szCs w:val="20"/>
          <w:lang w:val="en-AU"/>
        </w:rPr>
        <w:t>the entry into, variation or termination of a material agreement;</w:t>
      </w:r>
    </w:p>
    <w:p w14:paraId="54027724" w14:textId="77777777" w:rsidR="006D0EB3" w:rsidRPr="001E2A02" w:rsidRDefault="006D0EB3" w:rsidP="001E2A02">
      <w:pPr>
        <w:pStyle w:val="Heading4"/>
        <w:numPr>
          <w:ilvl w:val="0"/>
          <w:numId w:val="31"/>
        </w:numPr>
        <w:spacing w:line="276" w:lineRule="auto"/>
        <w:jc w:val="both"/>
        <w:rPr>
          <w:rFonts w:ascii="Arial" w:eastAsia="Times New Roman" w:hAnsi="Arial" w:cs="Times New Roman"/>
          <w:b w:val="0"/>
          <w:bCs w:val="0"/>
          <w:i w:val="0"/>
          <w:iCs w:val="0"/>
          <w:color w:val="auto"/>
          <w:szCs w:val="20"/>
          <w:lang w:val="en-AU"/>
        </w:rPr>
      </w:pPr>
      <w:r w:rsidRPr="001E2A02">
        <w:rPr>
          <w:rFonts w:ascii="Arial" w:eastAsia="Times New Roman" w:hAnsi="Arial" w:cs="Times New Roman"/>
          <w:b w:val="0"/>
          <w:bCs w:val="0"/>
          <w:i w:val="0"/>
          <w:iCs w:val="0"/>
          <w:color w:val="auto"/>
          <w:szCs w:val="20"/>
          <w:lang w:val="en-AU"/>
        </w:rPr>
        <w:t>becoming a plaintiff or defendant in a material law suit;</w:t>
      </w:r>
    </w:p>
    <w:p w14:paraId="7DA19111" w14:textId="77777777" w:rsidR="006D0EB3" w:rsidRPr="001E2A02" w:rsidRDefault="006D0EB3" w:rsidP="001E2A02">
      <w:pPr>
        <w:pStyle w:val="Heading4"/>
        <w:numPr>
          <w:ilvl w:val="0"/>
          <w:numId w:val="31"/>
        </w:numPr>
        <w:spacing w:line="276" w:lineRule="auto"/>
        <w:jc w:val="both"/>
        <w:rPr>
          <w:rFonts w:ascii="Arial" w:eastAsia="Times New Roman" w:hAnsi="Arial" w:cs="Times New Roman"/>
          <w:b w:val="0"/>
          <w:bCs w:val="0"/>
          <w:i w:val="0"/>
          <w:iCs w:val="0"/>
          <w:color w:val="auto"/>
          <w:szCs w:val="20"/>
          <w:lang w:val="en-AU"/>
        </w:rPr>
      </w:pPr>
      <w:r w:rsidRPr="001E2A02">
        <w:rPr>
          <w:rFonts w:ascii="Arial" w:eastAsia="Times New Roman" w:hAnsi="Arial" w:cs="Times New Roman"/>
          <w:b w:val="0"/>
          <w:bCs w:val="0"/>
          <w:i w:val="0"/>
          <w:iCs w:val="0"/>
          <w:color w:val="auto"/>
          <w:szCs w:val="20"/>
          <w:lang w:val="en-AU"/>
        </w:rPr>
        <w:t>the fact that the Company’s earnings will be materially different from the market expectations;</w:t>
      </w:r>
    </w:p>
    <w:p w14:paraId="3A473615" w14:textId="77777777" w:rsidR="006D0EB3" w:rsidRPr="001E2A02" w:rsidRDefault="006D0EB3" w:rsidP="001E2A02">
      <w:pPr>
        <w:pStyle w:val="Heading4"/>
        <w:numPr>
          <w:ilvl w:val="0"/>
          <w:numId w:val="31"/>
        </w:numPr>
        <w:spacing w:line="276" w:lineRule="auto"/>
        <w:jc w:val="both"/>
        <w:rPr>
          <w:rFonts w:ascii="Arial" w:eastAsia="Times New Roman" w:hAnsi="Arial" w:cs="Times New Roman"/>
          <w:b w:val="0"/>
          <w:bCs w:val="0"/>
          <w:i w:val="0"/>
          <w:iCs w:val="0"/>
          <w:color w:val="auto"/>
          <w:szCs w:val="20"/>
          <w:lang w:val="en-AU"/>
        </w:rPr>
      </w:pPr>
      <w:r w:rsidRPr="001E2A02">
        <w:rPr>
          <w:rFonts w:ascii="Arial" w:eastAsia="Times New Roman" w:hAnsi="Arial" w:cs="Times New Roman"/>
          <w:b w:val="0"/>
          <w:bCs w:val="0"/>
          <w:i w:val="0"/>
          <w:iCs w:val="0"/>
          <w:color w:val="auto"/>
          <w:szCs w:val="20"/>
          <w:lang w:val="en-AU"/>
        </w:rPr>
        <w:t>the appointment of a liquidator, receiver or administrator;</w:t>
      </w:r>
    </w:p>
    <w:p w14:paraId="58F295AD" w14:textId="77777777" w:rsidR="006D0EB3" w:rsidRPr="001E2A02" w:rsidRDefault="006D0EB3" w:rsidP="001E2A02">
      <w:pPr>
        <w:pStyle w:val="Heading4"/>
        <w:numPr>
          <w:ilvl w:val="0"/>
          <w:numId w:val="31"/>
        </w:numPr>
        <w:spacing w:line="276" w:lineRule="auto"/>
        <w:jc w:val="both"/>
        <w:rPr>
          <w:rFonts w:ascii="Arial" w:eastAsia="Times New Roman" w:hAnsi="Arial" w:cs="Times New Roman"/>
          <w:b w:val="0"/>
          <w:bCs w:val="0"/>
          <w:i w:val="0"/>
          <w:iCs w:val="0"/>
          <w:color w:val="auto"/>
          <w:szCs w:val="20"/>
          <w:lang w:val="en-AU"/>
        </w:rPr>
      </w:pPr>
      <w:r w:rsidRPr="001E2A02">
        <w:rPr>
          <w:rFonts w:ascii="Arial" w:eastAsia="Times New Roman" w:hAnsi="Arial" w:cs="Times New Roman"/>
          <w:b w:val="0"/>
          <w:bCs w:val="0"/>
          <w:i w:val="0"/>
          <w:iCs w:val="0"/>
          <w:color w:val="auto"/>
          <w:szCs w:val="20"/>
          <w:lang w:val="en-AU"/>
        </w:rPr>
        <w:t>the commission of an event of default under, or other event entitling a financier to terminate, a material financing facility;</w:t>
      </w:r>
    </w:p>
    <w:p w14:paraId="6D64E3B7" w14:textId="77777777" w:rsidR="006D0EB3" w:rsidRPr="001E2A02" w:rsidRDefault="006D0EB3" w:rsidP="001E2A02">
      <w:pPr>
        <w:pStyle w:val="Heading4"/>
        <w:numPr>
          <w:ilvl w:val="0"/>
          <w:numId w:val="31"/>
        </w:numPr>
        <w:spacing w:line="276" w:lineRule="auto"/>
        <w:jc w:val="both"/>
        <w:rPr>
          <w:rFonts w:ascii="Arial" w:eastAsia="Times New Roman" w:hAnsi="Arial" w:cs="Times New Roman"/>
          <w:b w:val="0"/>
          <w:bCs w:val="0"/>
          <w:i w:val="0"/>
          <w:iCs w:val="0"/>
          <w:color w:val="auto"/>
          <w:szCs w:val="20"/>
          <w:lang w:val="en-AU"/>
        </w:rPr>
      </w:pPr>
      <w:r w:rsidRPr="001E2A02">
        <w:rPr>
          <w:rFonts w:ascii="Arial" w:eastAsia="Times New Roman" w:hAnsi="Arial" w:cs="Times New Roman"/>
          <w:b w:val="0"/>
          <w:bCs w:val="0"/>
          <w:i w:val="0"/>
          <w:iCs w:val="0"/>
          <w:color w:val="auto"/>
          <w:szCs w:val="20"/>
          <w:lang w:val="en-AU"/>
        </w:rPr>
        <w:t>under subscriptions or over subscriptions to an issue of Securities;</w:t>
      </w:r>
    </w:p>
    <w:p w14:paraId="668876A7" w14:textId="77777777" w:rsidR="00375AB7" w:rsidRPr="001E2A02" w:rsidRDefault="006D0EB3" w:rsidP="00375AB7">
      <w:pPr>
        <w:pStyle w:val="Heading4"/>
        <w:numPr>
          <w:ilvl w:val="0"/>
          <w:numId w:val="31"/>
        </w:numPr>
        <w:spacing w:line="276" w:lineRule="auto"/>
        <w:jc w:val="both"/>
        <w:rPr>
          <w:rFonts w:ascii="Arial" w:eastAsia="Times New Roman" w:hAnsi="Arial" w:cs="Times New Roman"/>
          <w:b w:val="0"/>
          <w:bCs w:val="0"/>
          <w:i w:val="0"/>
          <w:iCs w:val="0"/>
          <w:color w:val="auto"/>
          <w:szCs w:val="20"/>
          <w:lang w:val="en-AU"/>
        </w:rPr>
      </w:pPr>
      <w:r w:rsidRPr="001E2A02">
        <w:rPr>
          <w:rFonts w:ascii="Arial" w:eastAsia="Times New Roman" w:hAnsi="Arial" w:cs="Times New Roman"/>
          <w:b w:val="0"/>
          <w:bCs w:val="0"/>
          <w:i w:val="0"/>
          <w:iCs w:val="0"/>
          <w:color w:val="auto"/>
          <w:szCs w:val="20"/>
          <w:lang w:val="en-AU"/>
        </w:rPr>
        <w:t>giving or receiving a notice of intention to make a takeover; and</w:t>
      </w:r>
    </w:p>
    <w:p w14:paraId="70A94C43" w14:textId="1C3CC9AC" w:rsidR="00375AB7" w:rsidRPr="001E2A02" w:rsidRDefault="006D0EB3" w:rsidP="00375AB7">
      <w:pPr>
        <w:pStyle w:val="Heading4"/>
        <w:numPr>
          <w:ilvl w:val="0"/>
          <w:numId w:val="31"/>
        </w:numPr>
        <w:spacing w:line="276" w:lineRule="auto"/>
        <w:jc w:val="both"/>
        <w:rPr>
          <w:rFonts w:ascii="Arial" w:eastAsia="Times New Roman" w:hAnsi="Arial" w:cs="Times New Roman"/>
          <w:b w:val="0"/>
          <w:bCs w:val="0"/>
          <w:i w:val="0"/>
          <w:iCs w:val="0"/>
          <w:color w:val="auto"/>
          <w:szCs w:val="20"/>
          <w:lang w:val="en-AU"/>
        </w:rPr>
      </w:pPr>
      <w:r w:rsidRPr="001E2A02">
        <w:rPr>
          <w:rFonts w:ascii="Arial" w:eastAsia="Times New Roman" w:hAnsi="Arial" w:cs="Times New Roman"/>
          <w:b w:val="0"/>
          <w:bCs w:val="0"/>
          <w:i w:val="0"/>
          <w:iCs w:val="0"/>
          <w:color w:val="auto"/>
          <w:szCs w:val="20"/>
          <w:lang w:val="en-AU"/>
        </w:rPr>
        <w:t>any rating applied by a rating agency to the Company or its Securities and any change to such a rating.</w:t>
      </w:r>
    </w:p>
    <w:p w14:paraId="370CBF3D" w14:textId="77777777" w:rsidR="00375AB7" w:rsidRPr="001E2A02" w:rsidRDefault="00375AB7" w:rsidP="00375AB7">
      <w:pPr>
        <w:pStyle w:val="Heading2"/>
        <w:spacing w:line="276" w:lineRule="auto"/>
        <w:jc w:val="both"/>
      </w:pPr>
    </w:p>
    <w:p w14:paraId="09699792" w14:textId="77777777" w:rsidR="006D0EB3" w:rsidRPr="001E2A02" w:rsidRDefault="006D0EB3" w:rsidP="00375AB7">
      <w:pPr>
        <w:pStyle w:val="Heading2"/>
        <w:spacing w:line="276" w:lineRule="auto"/>
        <w:jc w:val="both"/>
      </w:pPr>
      <w:r w:rsidRPr="001E2A02">
        <w:t>Information which must be disclosed</w:t>
      </w:r>
    </w:p>
    <w:p w14:paraId="32E87F40" w14:textId="6B14B575" w:rsidR="006D0EB3" w:rsidRPr="001E2A02" w:rsidRDefault="006D0EB3" w:rsidP="001E2A02">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 xml:space="preserve">There is specific information that ASX has determined must be disclosed in accordance with ASX Listing Rules 3.4 to 3.21 (inclusive).  No exceptions apply in relation to these matters. </w:t>
      </w:r>
      <w:r w:rsidR="00E24DED" w:rsidRPr="001E2A02">
        <w:rPr>
          <w:rFonts w:eastAsia="Times New Roman" w:cs="Times New Roman"/>
          <w:color w:val="auto"/>
          <w:sz w:val="20"/>
          <w:szCs w:val="24"/>
          <w:lang w:val="en-AU"/>
        </w:rPr>
        <w:t>I</w:t>
      </w:r>
      <w:r w:rsidRPr="001E2A02">
        <w:rPr>
          <w:rFonts w:eastAsia="Times New Roman" w:cs="Times New Roman"/>
          <w:color w:val="auto"/>
          <w:sz w:val="20"/>
          <w:szCs w:val="24"/>
          <w:lang w:val="en-AU"/>
        </w:rPr>
        <w:t>nformation that must be disclosed include</w:t>
      </w:r>
      <w:r w:rsidR="00912B43">
        <w:rPr>
          <w:rFonts w:eastAsia="Times New Roman" w:cs="Times New Roman"/>
          <w:color w:val="auto"/>
          <w:sz w:val="20"/>
          <w:szCs w:val="24"/>
          <w:lang w:val="en-AU"/>
        </w:rPr>
        <w:t>s</w:t>
      </w:r>
      <w:r w:rsidRPr="001E2A02">
        <w:rPr>
          <w:rFonts w:eastAsia="Times New Roman" w:cs="Times New Roman"/>
          <w:color w:val="auto"/>
          <w:sz w:val="20"/>
          <w:szCs w:val="24"/>
          <w:lang w:val="en-AU"/>
        </w:rPr>
        <w:t>:</w:t>
      </w:r>
    </w:p>
    <w:p w14:paraId="1C669178" w14:textId="33AE2859" w:rsidR="006D0EB3" w:rsidRPr="001E2A02" w:rsidRDefault="006D0EB3" w:rsidP="001E2A02">
      <w:pPr>
        <w:pStyle w:val="Heading3"/>
        <w:numPr>
          <w:ilvl w:val="0"/>
          <w:numId w:val="32"/>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certain information regarding the Company’s capital, including a proposed issue of Securities, a reorganisation of capital and the establishment, deactivation, reactivation or, or amend</w:t>
      </w:r>
      <w:r w:rsidR="00912B43">
        <w:rPr>
          <w:rFonts w:eastAsia="Times New Roman" w:cs="Times New Roman"/>
          <w:color w:val="auto"/>
          <w:sz w:val="20"/>
          <w:szCs w:val="24"/>
          <w:lang w:val="en-AU"/>
        </w:rPr>
        <w:t>ment</w:t>
      </w:r>
      <w:r w:rsidRPr="001E2A02">
        <w:rPr>
          <w:rFonts w:eastAsia="Times New Roman" w:cs="Times New Roman"/>
          <w:color w:val="auto"/>
          <w:sz w:val="20"/>
          <w:szCs w:val="24"/>
          <w:lang w:val="en-AU"/>
        </w:rPr>
        <w:t xml:space="preserve"> to, a dividend reinvestment plan (ASX Listing Rule 3.10);</w:t>
      </w:r>
    </w:p>
    <w:p w14:paraId="25E76C8E" w14:textId="77777777" w:rsidR="006D0EB3" w:rsidRPr="001E2A02" w:rsidRDefault="006D0EB3" w:rsidP="001E2A02">
      <w:pPr>
        <w:pStyle w:val="Heading3"/>
        <w:numPr>
          <w:ilvl w:val="0"/>
          <w:numId w:val="32"/>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a change to the exercise price of an option, or the number of underlying Securities over which an option is exercisable (ASX Listing Rule 3.11);</w:t>
      </w:r>
    </w:p>
    <w:p w14:paraId="3A3C53C3" w14:textId="77777777" w:rsidR="006D0EB3" w:rsidRPr="001E2A02" w:rsidRDefault="006D0EB3" w:rsidP="001E2A02">
      <w:pPr>
        <w:pStyle w:val="Heading3"/>
        <w:numPr>
          <w:ilvl w:val="0"/>
          <w:numId w:val="32"/>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the outcome of each resolution put to a meeting of the Company’s shareholders (ASX Listing Rule 3.13);</w:t>
      </w:r>
    </w:p>
    <w:p w14:paraId="376620F4" w14:textId="77777777" w:rsidR="006D0EB3" w:rsidRPr="001E2A02" w:rsidRDefault="006D0EB3" w:rsidP="001E2A02">
      <w:pPr>
        <w:pStyle w:val="Heading3"/>
        <w:numPr>
          <w:ilvl w:val="0"/>
          <w:numId w:val="32"/>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a change to the Company’s address, telephone or fax number (ASX Listing Rule 3.14);</w:t>
      </w:r>
    </w:p>
    <w:p w14:paraId="640B048F" w14:textId="77777777" w:rsidR="006D0EB3" w:rsidRPr="001E2A02" w:rsidRDefault="006D0EB3" w:rsidP="001E2A02">
      <w:pPr>
        <w:pStyle w:val="Heading3"/>
        <w:numPr>
          <w:ilvl w:val="0"/>
          <w:numId w:val="32"/>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a change to the Company’s auditor (ASX Listing Rule 3.16.3);</w:t>
      </w:r>
    </w:p>
    <w:p w14:paraId="15BACC93" w14:textId="77777777" w:rsidR="006D0EB3" w:rsidRPr="001E2A02" w:rsidRDefault="006D0EB3" w:rsidP="001E2A02">
      <w:pPr>
        <w:pStyle w:val="Heading3"/>
        <w:numPr>
          <w:ilvl w:val="0"/>
          <w:numId w:val="32"/>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the material terms of, and any material variation to, any employment, service or consultancy agreement with the Company’s CEO, Directors, or their related parties (ASX Listing Rule 3.16.4);</w:t>
      </w:r>
    </w:p>
    <w:p w14:paraId="3A46E916" w14:textId="77777777" w:rsidR="006D0EB3" w:rsidRPr="001E2A02" w:rsidRDefault="006D0EB3" w:rsidP="001E2A02">
      <w:pPr>
        <w:pStyle w:val="Heading3"/>
        <w:numPr>
          <w:ilvl w:val="0"/>
          <w:numId w:val="32"/>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information about the beneficial ownership of Securities obtained under Part 6C.2 of the Corporations Act (ASX Listing Rule 3.17.2);</w:t>
      </w:r>
    </w:p>
    <w:p w14:paraId="4D68C7FC" w14:textId="77777777" w:rsidR="006D0EB3" w:rsidRPr="001E2A02" w:rsidRDefault="006D0EB3" w:rsidP="001E2A02">
      <w:pPr>
        <w:pStyle w:val="Heading3"/>
        <w:numPr>
          <w:ilvl w:val="0"/>
          <w:numId w:val="32"/>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information about any meetings that have been requisitioned by the Company’s shareholders (ASX Listing Rule 3.17A); and</w:t>
      </w:r>
    </w:p>
    <w:p w14:paraId="6FB8571A" w14:textId="77777777" w:rsidR="006D0EB3" w:rsidRDefault="006D0EB3" w:rsidP="001E2A02">
      <w:pPr>
        <w:pStyle w:val="Heading3"/>
        <w:numPr>
          <w:ilvl w:val="0"/>
          <w:numId w:val="32"/>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a decision to pay, or not pay, a dividend or distribution (ASX Listing Rule 3.21).</w:t>
      </w:r>
    </w:p>
    <w:p w14:paraId="3D2602BC" w14:textId="77777777" w:rsidR="001E2A02" w:rsidRPr="001E2A02" w:rsidRDefault="001E2A02" w:rsidP="001E2A02"/>
    <w:p w14:paraId="279DBBC0" w14:textId="77777777" w:rsidR="006D0EB3" w:rsidRPr="001E2A02" w:rsidRDefault="006D0EB3" w:rsidP="00375AB7">
      <w:pPr>
        <w:pStyle w:val="Heading3"/>
        <w:spacing w:line="276" w:lineRule="auto"/>
        <w:jc w:val="both"/>
        <w:rPr>
          <w:szCs w:val="36"/>
        </w:rPr>
      </w:pPr>
      <w:r w:rsidRPr="001E2A02">
        <w:rPr>
          <w:szCs w:val="36"/>
        </w:rPr>
        <w:t>Exceptions to the disclosure requirements</w:t>
      </w:r>
    </w:p>
    <w:p w14:paraId="69388286" w14:textId="278C21C8" w:rsidR="006D0EB3" w:rsidRPr="001E2A02" w:rsidRDefault="006D0EB3" w:rsidP="00375AB7">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Disclosure under Listing Rule 3.1 is not required and does not apply to information where each of the following conditions is and remains satisfied in relation to the information:</w:t>
      </w:r>
    </w:p>
    <w:p w14:paraId="37F43D59" w14:textId="77777777" w:rsidR="006D0EB3" w:rsidRPr="001E2A02" w:rsidRDefault="006D0EB3" w:rsidP="001E2A02">
      <w:pPr>
        <w:pStyle w:val="Heading3"/>
        <w:numPr>
          <w:ilvl w:val="0"/>
          <w:numId w:val="38"/>
        </w:numPr>
        <w:spacing w:line="276" w:lineRule="auto"/>
        <w:ind w:left="1134" w:hanging="425"/>
        <w:jc w:val="both"/>
        <w:rPr>
          <w:rFonts w:eastAsia="Times New Roman" w:cs="Times New Roman"/>
          <w:color w:val="auto"/>
          <w:szCs w:val="24"/>
          <w:lang w:val="en-AU"/>
        </w:rPr>
      </w:pPr>
      <w:r w:rsidRPr="001E2A02">
        <w:rPr>
          <w:rFonts w:eastAsia="Times New Roman" w:cs="Times New Roman"/>
          <w:color w:val="auto"/>
          <w:sz w:val="20"/>
          <w:szCs w:val="24"/>
          <w:lang w:val="en-AU"/>
        </w:rPr>
        <w:t>one or more of the following applies:</w:t>
      </w:r>
    </w:p>
    <w:p w14:paraId="2FE26409" w14:textId="77777777" w:rsidR="006D0EB3" w:rsidRPr="001E2A02" w:rsidRDefault="006D0EB3" w:rsidP="001E2A02">
      <w:pPr>
        <w:pStyle w:val="Heading3"/>
        <w:numPr>
          <w:ilvl w:val="1"/>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it would be a breach of a law to disclose the information;</w:t>
      </w:r>
    </w:p>
    <w:p w14:paraId="1B248BE8" w14:textId="77777777" w:rsidR="006D0EB3" w:rsidRPr="001E2A02" w:rsidRDefault="006D0EB3" w:rsidP="001E2A02">
      <w:pPr>
        <w:pStyle w:val="Heading3"/>
        <w:numPr>
          <w:ilvl w:val="1"/>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the information concerns an incomplete proposal or negotiation;</w:t>
      </w:r>
    </w:p>
    <w:p w14:paraId="64180691" w14:textId="77777777" w:rsidR="006D0EB3" w:rsidRPr="001E2A02" w:rsidRDefault="006D0EB3" w:rsidP="001E2A02">
      <w:pPr>
        <w:pStyle w:val="Heading3"/>
        <w:numPr>
          <w:ilvl w:val="1"/>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the information comprises matters of supposition or is insufficiently definite to warrant disclosure;</w:t>
      </w:r>
    </w:p>
    <w:p w14:paraId="08C0C6DD" w14:textId="77777777" w:rsidR="006D0EB3" w:rsidRPr="001E2A02" w:rsidRDefault="006D0EB3" w:rsidP="001E2A02">
      <w:pPr>
        <w:pStyle w:val="Heading3"/>
        <w:numPr>
          <w:ilvl w:val="1"/>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the information is generated for the internal management purposes of the entity; or</w:t>
      </w:r>
    </w:p>
    <w:p w14:paraId="6699CC1F" w14:textId="77777777" w:rsidR="006D0EB3" w:rsidRPr="001E2A02" w:rsidRDefault="006D0EB3" w:rsidP="001E2A02">
      <w:pPr>
        <w:pStyle w:val="Heading3"/>
        <w:numPr>
          <w:ilvl w:val="1"/>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the information is a trade secret; and</w:t>
      </w:r>
    </w:p>
    <w:p w14:paraId="130C4EE8" w14:textId="77777777" w:rsidR="001E2A02" w:rsidRDefault="006D0EB3" w:rsidP="001E2A02">
      <w:pPr>
        <w:pStyle w:val="Heading3"/>
        <w:numPr>
          <w:ilvl w:val="0"/>
          <w:numId w:val="39"/>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the information is confidential and ASX has not formed the view that the information has ceased to be confidential; and</w:t>
      </w:r>
    </w:p>
    <w:p w14:paraId="5BFE53F0" w14:textId="5A3BCD02" w:rsidR="006D0EB3" w:rsidRPr="001E2A02" w:rsidRDefault="006D0EB3" w:rsidP="001E2A02">
      <w:pPr>
        <w:pStyle w:val="Heading3"/>
        <w:numPr>
          <w:ilvl w:val="0"/>
          <w:numId w:val="39"/>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a reasonable person would not expect the information to be disclosed.</w:t>
      </w:r>
    </w:p>
    <w:p w14:paraId="47CCE3F7" w14:textId="54FFA294" w:rsidR="006D0EB3" w:rsidRDefault="006D0EB3" w:rsidP="001E2A02">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The exception operates only for as long as all three conditions are satisfied.  If one or more of the requirements ceases to be satisfied, the exception no longer applies and the entity must disclose the information immediately in accordance with ASX Listing Rule 3.1.  Information will be confidential so long as the Company has control over the use and disclosure of information.  Confidentiality will not be lost if the Company gives confidential information to its advisers and financiers, or gives the information to a third party subject to a confidentiality arrangement.  ASX can form the view that confidentiality has been lost if all or part of the information becomes known with reasonable specificity, selectively, or generally, whether inadvertently or deliberately.  For example, media speculation and market rumours may signal that confidentiality has been lost.  If ASX forms the view that confidentiality in respect of Price Sensitive Information has been lost, that information must be immediately disclosed.</w:t>
      </w:r>
      <w:r w:rsidRPr="001E2A02">
        <w:rPr>
          <w:rFonts w:eastAsia="Times New Roman" w:cs="Times New Roman"/>
          <w:color w:val="auto"/>
          <w:sz w:val="20"/>
          <w:szCs w:val="24"/>
          <w:lang w:val="en-AU"/>
        </w:rPr>
        <w:br/>
      </w:r>
    </w:p>
    <w:p w14:paraId="6E8AF763" w14:textId="77777777" w:rsidR="00AA3CBD" w:rsidRDefault="00AA3CBD" w:rsidP="00215D7F"/>
    <w:p w14:paraId="6441925D" w14:textId="77777777" w:rsidR="00AA3CBD" w:rsidRPr="00215D7F" w:rsidRDefault="00AA3CBD" w:rsidP="00215D7F"/>
    <w:p w14:paraId="6F68DD9A" w14:textId="5F6F4841" w:rsidR="006D0EB3" w:rsidRPr="001E2A02" w:rsidRDefault="008B5F4A" w:rsidP="00375AB7">
      <w:pPr>
        <w:pStyle w:val="Heading1"/>
        <w:spacing w:line="276" w:lineRule="auto"/>
        <w:jc w:val="both"/>
      </w:pPr>
      <w:r>
        <w:t>Megaport</w:t>
      </w:r>
      <w:r w:rsidR="006D0EB3" w:rsidRPr="001E2A02">
        <w:t xml:space="preserve"> Policies and Procedures</w:t>
      </w:r>
    </w:p>
    <w:p w14:paraId="6CEF0EDE" w14:textId="2A1A487F" w:rsidR="001F7C8A" w:rsidRPr="001E2A02" w:rsidRDefault="001F7C8A" w:rsidP="001E2A02">
      <w:pPr>
        <w:pStyle w:val="Heading2"/>
        <w:tabs>
          <w:tab w:val="left" w:pos="686"/>
        </w:tabs>
        <w:autoSpaceDE/>
        <w:autoSpaceDN/>
        <w:adjustRightInd/>
        <w:spacing w:after="0" w:line="276" w:lineRule="auto"/>
        <w:jc w:val="both"/>
        <w:rPr>
          <w:spacing w:val="-1"/>
        </w:rPr>
      </w:pPr>
      <w:r w:rsidRPr="001E2A02">
        <w:rPr>
          <w:spacing w:val="-1"/>
        </w:rPr>
        <w:t>Board responsibilities</w:t>
      </w:r>
    </w:p>
    <w:p w14:paraId="31EDBBD7" w14:textId="324A774A" w:rsidR="001F7C8A" w:rsidRPr="001E2A02" w:rsidRDefault="001F7C8A" w:rsidP="00375AB7">
      <w:pPr>
        <w:pStyle w:val="Heading2"/>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The Board is responsible for:</w:t>
      </w:r>
    </w:p>
    <w:p w14:paraId="084BFE7A" w14:textId="77777777" w:rsidR="001F7C8A" w:rsidRPr="001E2A02" w:rsidRDefault="001F7C8A" w:rsidP="001E2A02">
      <w:pPr>
        <w:pStyle w:val="Heading3"/>
        <w:numPr>
          <w:ilvl w:val="0"/>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communicating with ASX;</w:t>
      </w:r>
    </w:p>
    <w:p w14:paraId="666E39DA" w14:textId="77777777" w:rsidR="001F7C8A" w:rsidRPr="001E2A02" w:rsidRDefault="001F7C8A" w:rsidP="001E2A02">
      <w:pPr>
        <w:pStyle w:val="Heading3"/>
        <w:numPr>
          <w:ilvl w:val="0"/>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monitoring the Company’s compliance with its continuous disclosure obligations;</w:t>
      </w:r>
    </w:p>
    <w:p w14:paraId="2DAE4E7E" w14:textId="77777777" w:rsidR="001F7C8A" w:rsidRPr="001E2A02" w:rsidRDefault="001F7C8A" w:rsidP="001E2A02">
      <w:pPr>
        <w:pStyle w:val="Heading3"/>
        <w:numPr>
          <w:ilvl w:val="0"/>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ensuring adequate processes and controls are in place for the identification, reporting and disclosure of Price Sensitive Information in a timely manner;</w:t>
      </w:r>
    </w:p>
    <w:p w14:paraId="1305F9A3" w14:textId="2461A0BC" w:rsidR="001F7C8A" w:rsidRPr="001E2A02" w:rsidRDefault="001F7C8A" w:rsidP="001E2A02">
      <w:pPr>
        <w:pStyle w:val="Heading3"/>
        <w:numPr>
          <w:ilvl w:val="0"/>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ensuring that Staff are educated on the Policy and the internal reporting processes and controls;</w:t>
      </w:r>
      <w:r w:rsidR="00B93613">
        <w:rPr>
          <w:rFonts w:eastAsia="Times New Roman" w:cs="Times New Roman"/>
          <w:color w:val="auto"/>
          <w:sz w:val="20"/>
          <w:szCs w:val="24"/>
          <w:lang w:val="en-AU"/>
        </w:rPr>
        <w:t xml:space="preserve"> and</w:t>
      </w:r>
    </w:p>
    <w:p w14:paraId="0DDD63F7" w14:textId="1DB7ED22" w:rsidR="001F7C8A" w:rsidRDefault="001F7C8A" w:rsidP="001E2A02">
      <w:pPr>
        <w:pStyle w:val="Heading3"/>
        <w:numPr>
          <w:ilvl w:val="0"/>
          <w:numId w:val="32"/>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where requested to do so, reviewing media announcements proposed to be made by the Company (irrespective of whether they contain Price Sensitive Information) and making recommendations (if any) as to content.</w:t>
      </w:r>
    </w:p>
    <w:p w14:paraId="537CD4B6" w14:textId="77777777" w:rsidR="00AA3CBD" w:rsidRPr="001E2A02" w:rsidRDefault="00AA3CBD" w:rsidP="00AA3CBD">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The Company has appointed the Company Secretary as the person responsible for communication with ASX in relation to ASX Listing Rules matters and also for the general administration of this policy.</w:t>
      </w:r>
    </w:p>
    <w:p w14:paraId="52DE52B2" w14:textId="77777777" w:rsidR="00D911F4" w:rsidRDefault="00D911F4" w:rsidP="00375AB7">
      <w:pPr>
        <w:pStyle w:val="Heading2"/>
        <w:spacing w:line="276" w:lineRule="auto"/>
        <w:jc w:val="both"/>
      </w:pPr>
    </w:p>
    <w:p w14:paraId="4B187A78" w14:textId="2FB72E56" w:rsidR="001F7C8A" w:rsidRPr="001E2A02" w:rsidRDefault="00543237" w:rsidP="00375AB7">
      <w:pPr>
        <w:pStyle w:val="Heading2"/>
        <w:spacing w:line="276" w:lineRule="auto"/>
        <w:jc w:val="both"/>
      </w:pPr>
      <w:r w:rsidRPr="001E2A02">
        <w:t>General reporting procedure for Directors and Staff</w:t>
      </w:r>
    </w:p>
    <w:p w14:paraId="18581211" w14:textId="0FB7B890" w:rsidR="001F7C8A" w:rsidRPr="001E2A02" w:rsidRDefault="001F7C8A" w:rsidP="001E2A02">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When Directors</w:t>
      </w:r>
      <w:r w:rsidR="00543237" w:rsidRPr="001E2A02">
        <w:rPr>
          <w:rFonts w:eastAsia="Times New Roman" w:cs="Times New Roman"/>
          <w:color w:val="auto"/>
          <w:sz w:val="20"/>
          <w:szCs w:val="24"/>
          <w:lang w:val="en-AU"/>
        </w:rPr>
        <w:t xml:space="preserve"> or</w:t>
      </w:r>
      <w:r w:rsidRPr="001E2A02">
        <w:rPr>
          <w:rFonts w:eastAsia="Times New Roman" w:cs="Times New Roman"/>
          <w:color w:val="auto"/>
          <w:sz w:val="20"/>
          <w:szCs w:val="24"/>
          <w:lang w:val="en-AU"/>
        </w:rPr>
        <w:t xml:space="preserve"> Staff become aware of information which they believe may need to be disclosed, they should immediately advise full details to a member of Executive </w:t>
      </w:r>
      <w:r w:rsidR="008D1E49" w:rsidRPr="001E2A02">
        <w:rPr>
          <w:rFonts w:eastAsia="Times New Roman" w:cs="Times New Roman"/>
          <w:color w:val="auto"/>
          <w:sz w:val="20"/>
          <w:szCs w:val="24"/>
          <w:lang w:val="en-AU"/>
        </w:rPr>
        <w:t>Management</w:t>
      </w:r>
      <w:r w:rsidRPr="001E2A02">
        <w:rPr>
          <w:rFonts w:eastAsia="Times New Roman" w:cs="Times New Roman"/>
          <w:color w:val="auto"/>
          <w:sz w:val="20"/>
          <w:szCs w:val="24"/>
          <w:lang w:val="en-AU"/>
        </w:rPr>
        <w:t>.</w:t>
      </w:r>
      <w:r w:rsidR="00543237" w:rsidRPr="001E2A02">
        <w:rPr>
          <w:rFonts w:eastAsia="Times New Roman" w:cs="Times New Roman"/>
          <w:color w:val="auto"/>
          <w:sz w:val="20"/>
          <w:szCs w:val="24"/>
          <w:lang w:val="en-AU"/>
        </w:rPr>
        <w:t xml:space="preserve">  </w:t>
      </w:r>
      <w:r w:rsidRPr="001E2A02">
        <w:rPr>
          <w:rFonts w:eastAsia="Times New Roman" w:cs="Times New Roman"/>
          <w:color w:val="auto"/>
          <w:sz w:val="20"/>
          <w:szCs w:val="24"/>
          <w:lang w:val="en-AU"/>
        </w:rPr>
        <w:t xml:space="preserve">At least two members of Executive Management will then </w:t>
      </w:r>
      <w:r w:rsidR="00B93613">
        <w:rPr>
          <w:rFonts w:eastAsia="Times New Roman" w:cs="Times New Roman"/>
          <w:color w:val="auto"/>
          <w:sz w:val="20"/>
          <w:szCs w:val="24"/>
          <w:lang w:val="en-AU"/>
        </w:rPr>
        <w:t>liaise</w:t>
      </w:r>
      <w:r w:rsidRPr="001E2A02">
        <w:rPr>
          <w:rFonts w:eastAsia="Times New Roman" w:cs="Times New Roman"/>
          <w:color w:val="auto"/>
          <w:sz w:val="20"/>
          <w:szCs w:val="24"/>
          <w:lang w:val="en-AU"/>
        </w:rPr>
        <w:t xml:space="preserve"> and take the following steps:</w:t>
      </w:r>
    </w:p>
    <w:p w14:paraId="05B9D319" w14:textId="77777777" w:rsidR="001F7C8A" w:rsidRPr="001E2A02" w:rsidRDefault="001F7C8A" w:rsidP="001E2A02">
      <w:pPr>
        <w:pStyle w:val="Heading3"/>
        <w:numPr>
          <w:ilvl w:val="0"/>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review the information and assess whether it is Price Sensitive Information and whether disclosure is required or an exception applies;</w:t>
      </w:r>
    </w:p>
    <w:p w14:paraId="44E40D0B" w14:textId="77777777" w:rsidR="001F7C8A" w:rsidRPr="001E2A02" w:rsidRDefault="001F7C8A" w:rsidP="001E2A02">
      <w:pPr>
        <w:pStyle w:val="Heading3"/>
        <w:numPr>
          <w:ilvl w:val="0"/>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prepare a draft Continuous Disclosure Announcement, if disclosure is required;</w:t>
      </w:r>
    </w:p>
    <w:p w14:paraId="7BD54A37" w14:textId="1630172D" w:rsidR="001F7C8A" w:rsidRPr="001E2A02" w:rsidRDefault="001F7C8A" w:rsidP="001E2A02">
      <w:pPr>
        <w:pStyle w:val="Heading3"/>
        <w:numPr>
          <w:ilvl w:val="0"/>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consult with the Board as necessary and where reasonably practicable, obtain the approval for the Continuous Disclosure Announcement from the Board and then release the same.</w:t>
      </w:r>
    </w:p>
    <w:p w14:paraId="0150B3AE" w14:textId="550CEE5A" w:rsidR="001F7C8A" w:rsidRPr="001E2A02" w:rsidRDefault="001F7C8A" w:rsidP="001E2A02">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It should be noted, however, that the obligation to notify ASX of Price Sensitive Information is an obligation to notify immediately, and therefore</w:t>
      </w:r>
      <w:r w:rsidR="008D1E49">
        <w:rPr>
          <w:rFonts w:eastAsia="Times New Roman" w:cs="Times New Roman"/>
          <w:color w:val="auto"/>
          <w:sz w:val="20"/>
          <w:szCs w:val="24"/>
          <w:lang w:val="en-AU"/>
        </w:rPr>
        <w:t xml:space="preserve"> it may</w:t>
      </w:r>
      <w:r w:rsidRPr="001E2A02">
        <w:rPr>
          <w:rFonts w:eastAsia="Times New Roman" w:cs="Times New Roman"/>
          <w:color w:val="auto"/>
          <w:sz w:val="20"/>
          <w:szCs w:val="24"/>
          <w:lang w:val="en-AU"/>
        </w:rPr>
        <w:t xml:space="preserve"> not be </w:t>
      </w:r>
      <w:r w:rsidR="008D1E49">
        <w:rPr>
          <w:rFonts w:eastAsia="Times New Roman" w:cs="Times New Roman"/>
          <w:color w:val="auto"/>
          <w:sz w:val="20"/>
          <w:szCs w:val="24"/>
          <w:lang w:val="en-AU"/>
        </w:rPr>
        <w:t>possible</w:t>
      </w:r>
      <w:r w:rsidRPr="001E2A02">
        <w:rPr>
          <w:rFonts w:eastAsia="Times New Roman" w:cs="Times New Roman"/>
          <w:color w:val="auto"/>
          <w:sz w:val="20"/>
          <w:szCs w:val="24"/>
          <w:lang w:val="en-AU"/>
        </w:rPr>
        <w:t xml:space="preserve"> to </w:t>
      </w:r>
      <w:r w:rsidR="008D1E49">
        <w:rPr>
          <w:rFonts w:eastAsia="Times New Roman" w:cs="Times New Roman"/>
          <w:color w:val="auto"/>
          <w:sz w:val="20"/>
          <w:szCs w:val="24"/>
          <w:lang w:val="en-AU"/>
        </w:rPr>
        <w:t>convene a</w:t>
      </w:r>
      <w:r w:rsidRPr="001E2A02">
        <w:rPr>
          <w:rFonts w:eastAsia="Times New Roman" w:cs="Times New Roman"/>
          <w:color w:val="auto"/>
          <w:sz w:val="20"/>
          <w:szCs w:val="24"/>
          <w:lang w:val="en-AU"/>
        </w:rPr>
        <w:t xml:space="preserve"> Board meeting before making a Continuous Disclosure Announcement.  If this is the case, the Continuous Disclosure Announcement must have been reviewed by </w:t>
      </w:r>
      <w:r w:rsidR="008D1E49">
        <w:rPr>
          <w:rFonts w:eastAsia="Times New Roman" w:cs="Times New Roman"/>
          <w:color w:val="auto"/>
          <w:sz w:val="20"/>
          <w:szCs w:val="24"/>
          <w:lang w:val="en-AU"/>
        </w:rPr>
        <w:t>the Chairperson (or their delegate), and the CEO (or their delegate)</w:t>
      </w:r>
    </w:p>
    <w:p w14:paraId="6D060FF4" w14:textId="6C20C4F7" w:rsidR="00543237" w:rsidRDefault="00543237" w:rsidP="00375AB7">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 xml:space="preserve">ASX announcements that are administrative and routine may be prepared by the Company Secretary without requiring further approval or formal consideration by the </w:t>
      </w:r>
      <w:r w:rsidR="008D1E49">
        <w:rPr>
          <w:rFonts w:eastAsia="Times New Roman" w:cs="Times New Roman"/>
          <w:color w:val="auto"/>
          <w:sz w:val="20"/>
          <w:szCs w:val="24"/>
          <w:lang w:val="en-AU"/>
        </w:rPr>
        <w:t>Board</w:t>
      </w:r>
      <w:r w:rsidRPr="001E2A02">
        <w:rPr>
          <w:rFonts w:eastAsia="Times New Roman" w:cs="Times New Roman"/>
          <w:color w:val="auto"/>
          <w:sz w:val="20"/>
          <w:szCs w:val="24"/>
          <w:lang w:val="en-AU"/>
        </w:rPr>
        <w:t>.</w:t>
      </w:r>
    </w:p>
    <w:p w14:paraId="1EA1D2B0" w14:textId="77777777" w:rsidR="008D1E49" w:rsidRDefault="008D1E49" w:rsidP="00215D7F"/>
    <w:p w14:paraId="31E1D477" w14:textId="77777777" w:rsidR="008D1E49" w:rsidRPr="00215D7F" w:rsidRDefault="008D1E49" w:rsidP="00215D7F"/>
    <w:p w14:paraId="72974CE0" w14:textId="77777777" w:rsidR="00543237" w:rsidRPr="001E2A02" w:rsidRDefault="00543237" w:rsidP="00375AB7">
      <w:pPr>
        <w:pStyle w:val="Heading3"/>
        <w:spacing w:line="276" w:lineRule="auto"/>
        <w:jc w:val="both"/>
      </w:pPr>
      <w:r w:rsidRPr="001E2A02">
        <w:t>Release of information to the public</w:t>
      </w:r>
    </w:p>
    <w:p w14:paraId="316D15E7" w14:textId="1F43E8C6" w:rsidR="00543237" w:rsidRPr="001E2A02" w:rsidRDefault="008B5F4A" w:rsidP="00375AB7">
      <w:pPr>
        <w:pStyle w:val="Heading3"/>
        <w:spacing w:line="276" w:lineRule="auto"/>
        <w:jc w:val="both"/>
        <w:rPr>
          <w:rFonts w:eastAsia="Times New Roman" w:cs="Times New Roman"/>
          <w:color w:val="auto"/>
          <w:sz w:val="20"/>
          <w:szCs w:val="24"/>
          <w:lang w:val="en-AU"/>
        </w:rPr>
      </w:pPr>
      <w:r>
        <w:rPr>
          <w:rFonts w:eastAsia="Times New Roman" w:cs="Times New Roman"/>
          <w:color w:val="auto"/>
          <w:sz w:val="20"/>
          <w:szCs w:val="24"/>
          <w:lang w:val="en-AU"/>
        </w:rPr>
        <w:t>Megaport</w:t>
      </w:r>
      <w:r w:rsidR="00543237" w:rsidRPr="001E2A02">
        <w:rPr>
          <w:rFonts w:eastAsia="Times New Roman" w:cs="Times New Roman"/>
          <w:color w:val="auto"/>
          <w:sz w:val="20"/>
          <w:szCs w:val="24"/>
          <w:lang w:val="en-AU"/>
        </w:rPr>
        <w:t xml:space="preserve"> must not publicly disclose Price Sensitive Information until it has given that information to </w:t>
      </w:r>
      <w:r w:rsidR="008D1E49">
        <w:rPr>
          <w:rFonts w:eastAsia="Times New Roman" w:cs="Times New Roman"/>
          <w:color w:val="auto"/>
          <w:sz w:val="20"/>
          <w:szCs w:val="24"/>
          <w:lang w:val="en-AU"/>
        </w:rPr>
        <w:t xml:space="preserve">the </w:t>
      </w:r>
      <w:r w:rsidR="00543237" w:rsidRPr="001E2A02">
        <w:rPr>
          <w:rFonts w:eastAsia="Times New Roman" w:cs="Times New Roman"/>
          <w:color w:val="auto"/>
          <w:sz w:val="20"/>
          <w:szCs w:val="24"/>
          <w:lang w:val="en-AU"/>
        </w:rPr>
        <w:t>ASX and has received an acknowledgment from ASX that the information has been released to the market.  Following confirmation of receipt from ASX, the Company will place all information disclosed on its website.  Information must not be given to media or analysts before it is given to ASX.</w:t>
      </w:r>
    </w:p>
    <w:p w14:paraId="30ECD003" w14:textId="537864AD" w:rsidR="00E24DED" w:rsidRPr="001E2A02" w:rsidRDefault="00E24DED" w:rsidP="00E24DED">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If Price Sensitive Information is inadvertently disclosed or a Director or Staff becomes aware of information which should be disclosed, that person must immediately contact the Company Secretary so that appropriate action can be taken including, if required, announcing the information through ASX and then posting it on the Company’s website.</w:t>
      </w:r>
    </w:p>
    <w:p w14:paraId="5503279A" w14:textId="77777777" w:rsidR="00543237" w:rsidRPr="001E2A02" w:rsidRDefault="00543237" w:rsidP="00215D7F">
      <w:pPr>
        <w:pStyle w:val="Heading2"/>
        <w:spacing w:before="480" w:line="276" w:lineRule="auto"/>
        <w:jc w:val="both"/>
      </w:pPr>
      <w:r w:rsidRPr="001E2A02">
        <w:t>Requirement to disclose immediately</w:t>
      </w:r>
    </w:p>
    <w:p w14:paraId="751322D2" w14:textId="77777777" w:rsidR="00543237" w:rsidRPr="001E2A02" w:rsidRDefault="00543237" w:rsidP="00375AB7">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ASX has given guidance that the obligation to disclose Price Sensitive Information ‘immediately’ does not mean that the information has to be disclosed instantaneously.  In the context of continuous disclosure it means acting ‘promptly and without delay’.  Acting promptly and without delay means attending to something as quickly as it can be done in the circumstances and not deferring, postponing or putting it off until a later time.</w:t>
      </w:r>
    </w:p>
    <w:p w14:paraId="68F14C64" w14:textId="377C921F" w:rsidR="00543237" w:rsidRPr="001E2A02" w:rsidRDefault="00543237" w:rsidP="001E2A02">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Accordingly, if the obligation to disclose is triggered overnight or on the weekend (or other time when the market is closed), it is generally sufficient for the Company to provide the information for release before trading resumes.  However, the relevant information should be brought to the attention of the CEO or Company Secretary as soon as possible.</w:t>
      </w:r>
    </w:p>
    <w:p w14:paraId="2A73FC97" w14:textId="77777777" w:rsidR="00543237" w:rsidRPr="001E2A02" w:rsidRDefault="00543237" w:rsidP="00215D7F">
      <w:pPr>
        <w:pStyle w:val="Heading2"/>
        <w:tabs>
          <w:tab w:val="left" w:pos="686"/>
        </w:tabs>
        <w:autoSpaceDE/>
        <w:autoSpaceDN/>
        <w:adjustRightInd/>
        <w:spacing w:before="480" w:after="0" w:line="276" w:lineRule="auto"/>
        <w:jc w:val="both"/>
        <w:rPr>
          <w:b/>
          <w:bCs/>
        </w:rPr>
      </w:pPr>
      <w:r w:rsidRPr="001E2A02">
        <w:rPr>
          <w:spacing w:val="-1"/>
        </w:rPr>
        <w:t>Speculation</w:t>
      </w:r>
      <w:r w:rsidRPr="001E2A02">
        <w:rPr>
          <w:spacing w:val="-3"/>
        </w:rPr>
        <w:t xml:space="preserve"> </w:t>
      </w:r>
      <w:r w:rsidRPr="001E2A02">
        <w:rPr>
          <w:spacing w:val="-1"/>
        </w:rPr>
        <w:t>and</w:t>
      </w:r>
      <w:r w:rsidRPr="001E2A02">
        <w:rPr>
          <w:spacing w:val="-2"/>
        </w:rPr>
        <w:t xml:space="preserve"> </w:t>
      </w:r>
      <w:proofErr w:type="spellStart"/>
      <w:r w:rsidRPr="001E2A02">
        <w:rPr>
          <w:spacing w:val="-1"/>
        </w:rPr>
        <w:t>rumours</w:t>
      </w:r>
      <w:proofErr w:type="spellEnd"/>
    </w:p>
    <w:p w14:paraId="5F2764E7" w14:textId="04E92D2C" w:rsidR="00543237" w:rsidRPr="001E2A02" w:rsidRDefault="00543237" w:rsidP="001E2A02">
      <w:pPr>
        <w:pStyle w:val="Heading3"/>
        <w:spacing w:line="276" w:lineRule="auto"/>
        <w:jc w:val="both"/>
        <w:rPr>
          <w:rFonts w:eastAsia="Times New Roman" w:cs="Times New Roman"/>
          <w:sz w:val="20"/>
          <w:szCs w:val="24"/>
          <w:lang w:val="en-AU"/>
        </w:rPr>
      </w:pPr>
      <w:r w:rsidRPr="001E2A02">
        <w:rPr>
          <w:rFonts w:eastAsia="Times New Roman" w:cs="Times New Roman"/>
          <w:color w:val="auto"/>
          <w:sz w:val="20"/>
          <w:szCs w:val="24"/>
          <w:lang w:val="en-AU"/>
        </w:rPr>
        <w:t>Generally, the Company will not respond to market speculation or rumours unless a response is required by law or ASX.  On media speculation, the Company has a strict “no comment” policy which must be observed by all Staff. The Company may only make a statement about or respond to speculation or rumour where the Company considers that it is obliged or required to do so and any response must be in accordance with law and this policy.</w:t>
      </w:r>
      <w:r w:rsidR="00E33E93" w:rsidRPr="001E2A02">
        <w:rPr>
          <w:rFonts w:eastAsia="Times New Roman" w:cs="Times New Roman"/>
          <w:color w:val="auto"/>
          <w:sz w:val="20"/>
          <w:szCs w:val="24"/>
          <w:lang w:val="en-AU"/>
        </w:rPr>
        <w:t xml:space="preserve">  For example, the Company may choose to comment on the matter if:</w:t>
      </w:r>
    </w:p>
    <w:p w14:paraId="629F4704" w14:textId="77777777" w:rsidR="00E33E93" w:rsidRPr="001E2A02" w:rsidRDefault="00E33E93" w:rsidP="00215D7F">
      <w:pPr>
        <w:pStyle w:val="Heading3"/>
        <w:numPr>
          <w:ilvl w:val="0"/>
          <w:numId w:val="48"/>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the relevant material is reasonably accurate and reasonably specific to a matter involving the Company;</w:t>
      </w:r>
    </w:p>
    <w:p w14:paraId="13743F0B" w14:textId="77777777" w:rsidR="00E33E93" w:rsidRPr="001E2A02" w:rsidRDefault="00E33E93" w:rsidP="00215D7F">
      <w:pPr>
        <w:pStyle w:val="Heading3"/>
        <w:numPr>
          <w:ilvl w:val="0"/>
          <w:numId w:val="48"/>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there are factual errors contained in the speculation or rumour that could materially affect the Company;</w:t>
      </w:r>
    </w:p>
    <w:p w14:paraId="6DA3539F" w14:textId="40312281" w:rsidR="00E33E93" w:rsidRPr="001E2A02" w:rsidRDefault="00E33E93" w:rsidP="00215D7F">
      <w:pPr>
        <w:pStyle w:val="Heading3"/>
        <w:numPr>
          <w:ilvl w:val="0"/>
          <w:numId w:val="48"/>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there is a move in the price of Securities which is reasonably referable to the speculation or rumour; or</w:t>
      </w:r>
    </w:p>
    <w:p w14:paraId="4B6E5427" w14:textId="2DCBF7AB" w:rsidR="00E33E93" w:rsidRDefault="00E33E93" w:rsidP="00215D7F">
      <w:pPr>
        <w:pStyle w:val="Heading3"/>
        <w:numPr>
          <w:ilvl w:val="0"/>
          <w:numId w:val="48"/>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the Company receives a formal request from ASX or a regulator (e.g. requiring the correction of a false market).</w:t>
      </w:r>
    </w:p>
    <w:p w14:paraId="3E685E27" w14:textId="77777777" w:rsidR="008D1E49" w:rsidRPr="00215D7F" w:rsidRDefault="008D1E49" w:rsidP="00215D7F"/>
    <w:p w14:paraId="40EE0161" w14:textId="2E7E3B89" w:rsidR="00543237" w:rsidRPr="001E2A02" w:rsidRDefault="00543237" w:rsidP="00215D7F">
      <w:pPr>
        <w:pStyle w:val="Heading2"/>
        <w:spacing w:before="480" w:line="276" w:lineRule="auto"/>
        <w:jc w:val="both"/>
      </w:pPr>
      <w:r w:rsidRPr="001E2A02">
        <w:t>False market</w:t>
      </w:r>
    </w:p>
    <w:p w14:paraId="6ADCEF5B" w14:textId="77777777" w:rsidR="00E24DED" w:rsidRPr="001E2A02" w:rsidRDefault="00543237" w:rsidP="001E2A02">
      <w:pPr>
        <w:pStyle w:val="Heading3"/>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If ASX considers that there is or is likely to be a false market in Securities and asks the Company to give it information to correct or prevent a false market, the Company must give ASX the information needed to correct or prevent the false market.  The obligation to give information requested by ASX to correct a false market applies regardless of whether the exception in Listing Rule 3.1A otherwise applied in respect of that information.  An example of a circumstance where ASX would be likely to consider a false market exists include where:</w:t>
      </w:r>
    </w:p>
    <w:p w14:paraId="03E617F5" w14:textId="38D77031" w:rsidR="00543237" w:rsidRPr="001E2A02" w:rsidRDefault="00543237" w:rsidP="00E24DED">
      <w:pPr>
        <w:pStyle w:val="Heading3"/>
        <w:numPr>
          <w:ilvl w:val="0"/>
          <w:numId w:val="32"/>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 xml:space="preserve">the Company has information that has not been released to the market because it is relying on Listing Rule 3.1A; </w:t>
      </w:r>
    </w:p>
    <w:p w14:paraId="2D31CDCC" w14:textId="77777777" w:rsidR="00543237" w:rsidRPr="001E2A02" w:rsidRDefault="00543237" w:rsidP="001E2A02">
      <w:pPr>
        <w:pStyle w:val="Heading3"/>
        <w:numPr>
          <w:ilvl w:val="0"/>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there is a reasonably specific rumour or media comment in relation to the Company that has not been confirmed, denied or clarified by the Company; and</w:t>
      </w:r>
    </w:p>
    <w:p w14:paraId="6AB0E2FF" w14:textId="77777777" w:rsidR="00543237" w:rsidRPr="001E2A02" w:rsidRDefault="00543237" w:rsidP="001E2A02">
      <w:pPr>
        <w:pStyle w:val="Heading3"/>
        <w:numPr>
          <w:ilvl w:val="0"/>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there is evidence that the rumour or comment is having, or ASX forms the view that it is likely to have, an impact on the price of the Company’s securities.</w:t>
      </w:r>
    </w:p>
    <w:p w14:paraId="7010ECB8" w14:textId="77777777" w:rsidR="00543237" w:rsidRPr="001E2A02" w:rsidRDefault="00543237" w:rsidP="00215D7F">
      <w:pPr>
        <w:pStyle w:val="Heading2"/>
        <w:spacing w:before="480" w:line="276" w:lineRule="auto"/>
        <w:jc w:val="both"/>
      </w:pPr>
      <w:r w:rsidRPr="001E2A02">
        <w:t>Trading halts and voluntary suspensions</w:t>
      </w:r>
    </w:p>
    <w:p w14:paraId="54564C33" w14:textId="77777777" w:rsidR="00543237" w:rsidRPr="001E2A02" w:rsidRDefault="00543237" w:rsidP="001E2A02">
      <w:pPr>
        <w:pStyle w:val="Heading3"/>
        <w:keepNext/>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The Company recognises that in certain circumstances it may be appropriate for the Company to request a trading halt from ASX.  This may include instances where:</w:t>
      </w:r>
    </w:p>
    <w:p w14:paraId="0DB62190" w14:textId="77777777" w:rsidR="00543237" w:rsidRPr="001E2A02" w:rsidRDefault="00543237" w:rsidP="001E2A02">
      <w:pPr>
        <w:pStyle w:val="Heading3"/>
        <w:numPr>
          <w:ilvl w:val="0"/>
          <w:numId w:val="32"/>
        </w:numPr>
        <w:spacing w:line="276" w:lineRule="auto"/>
        <w:jc w:val="both"/>
        <w:rPr>
          <w:rFonts w:eastAsia="Times New Roman" w:cs="Times New Roman"/>
          <w:color w:val="auto"/>
          <w:szCs w:val="24"/>
          <w:lang w:val="en-AU"/>
        </w:rPr>
      </w:pPr>
      <w:r w:rsidRPr="001E2A02">
        <w:rPr>
          <w:rFonts w:eastAsia="Times New Roman" w:cs="Times New Roman"/>
          <w:color w:val="auto"/>
          <w:sz w:val="20"/>
          <w:szCs w:val="24"/>
          <w:lang w:val="en-AU"/>
        </w:rPr>
        <w:t>confidential information about the Company has inadvertently made been public and has created a false market or is particularly damaging to the Company (or both), and further time is required to enable the Company to prepare an appropriate announcement; or</w:t>
      </w:r>
    </w:p>
    <w:p w14:paraId="14005134" w14:textId="77777777" w:rsidR="00E46354" w:rsidRPr="001E2A02" w:rsidRDefault="00543237" w:rsidP="001E2A02">
      <w:pPr>
        <w:pStyle w:val="Heading3"/>
        <w:numPr>
          <w:ilvl w:val="0"/>
          <w:numId w:val="32"/>
        </w:numPr>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the Company is preparing to make a major announcement and is concerned to prevent speculative or insider trading.</w:t>
      </w:r>
    </w:p>
    <w:p w14:paraId="3F6D42E7" w14:textId="17D7DB2C" w:rsidR="00543237" w:rsidRPr="001E2A02" w:rsidRDefault="00543237" w:rsidP="001E2A02">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 xml:space="preserve">If such a circumstance arises only the </w:t>
      </w:r>
      <w:r w:rsidR="00E46354" w:rsidRPr="001E2A02">
        <w:rPr>
          <w:rFonts w:eastAsia="Times New Roman" w:cs="Times New Roman"/>
          <w:color w:val="auto"/>
          <w:sz w:val="20"/>
          <w:szCs w:val="24"/>
          <w:lang w:val="en-AU"/>
        </w:rPr>
        <w:t>Board</w:t>
      </w:r>
      <w:r w:rsidRPr="001E2A02">
        <w:rPr>
          <w:rFonts w:eastAsia="Times New Roman" w:cs="Times New Roman"/>
          <w:color w:val="auto"/>
          <w:sz w:val="20"/>
          <w:szCs w:val="24"/>
          <w:lang w:val="en-AU"/>
        </w:rPr>
        <w:t xml:space="preserve"> can authorise a request for a trading halt.</w:t>
      </w:r>
      <w:r w:rsidR="00E46354" w:rsidRPr="001E2A02">
        <w:rPr>
          <w:rFonts w:eastAsia="Times New Roman" w:cs="Times New Roman"/>
          <w:color w:val="auto"/>
          <w:sz w:val="20"/>
          <w:szCs w:val="24"/>
          <w:lang w:val="en-AU"/>
        </w:rPr>
        <w:t xml:space="preserve">  </w:t>
      </w:r>
      <w:r w:rsidRPr="001E2A02">
        <w:rPr>
          <w:rFonts w:eastAsia="Times New Roman" w:cs="Times New Roman"/>
          <w:color w:val="auto"/>
          <w:sz w:val="20"/>
          <w:szCs w:val="24"/>
          <w:lang w:val="en-AU"/>
        </w:rPr>
        <w:t>The Company will prepare and utilise trading halt request templates in order to ensure that a trading halt can be obtained from ASX as soon as possible, if required.</w:t>
      </w:r>
    </w:p>
    <w:p w14:paraId="2ABB339E" w14:textId="7162CE8C" w:rsidR="00E46354" w:rsidRPr="001E2A02" w:rsidRDefault="00543237" w:rsidP="00E24DED">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If the Company does not expect to be able to make an announcement regarding the relevant Price Sensitive Information within the usual two trading days permitted for the trading halt, the Company will also consider whether a voluntary suspension on the trading of Securities is more appropriate.</w:t>
      </w:r>
    </w:p>
    <w:p w14:paraId="4CE2DB10" w14:textId="77777777" w:rsidR="00E24DED" w:rsidRPr="001E2A02" w:rsidRDefault="00E24DED" w:rsidP="00E24DED">
      <w:pPr>
        <w:rPr>
          <w:lang w:val="en-AU"/>
        </w:rPr>
      </w:pPr>
    </w:p>
    <w:p w14:paraId="6AB8053E" w14:textId="77777777" w:rsidR="00E46354" w:rsidRPr="001E2A02" w:rsidRDefault="00E46354" w:rsidP="00375AB7">
      <w:pPr>
        <w:pStyle w:val="Heading1"/>
        <w:spacing w:line="276" w:lineRule="auto"/>
        <w:jc w:val="both"/>
      </w:pPr>
      <w:r w:rsidRPr="001E2A02">
        <w:t>Other communications</w:t>
      </w:r>
    </w:p>
    <w:p w14:paraId="1D129D93" w14:textId="22C8A76A" w:rsidR="00E46354" w:rsidRPr="001E2A02" w:rsidRDefault="00E46354" w:rsidP="001E2A02">
      <w:pPr>
        <w:pStyle w:val="Heading2"/>
        <w:spacing w:line="276" w:lineRule="auto"/>
        <w:jc w:val="both"/>
      </w:pPr>
      <w:r w:rsidRPr="001E2A02">
        <w:t>Analyst and institutional investors</w:t>
      </w:r>
    </w:p>
    <w:p w14:paraId="483A747B" w14:textId="13B6D5CF" w:rsidR="00E46354" w:rsidRPr="001E2A02" w:rsidRDefault="00E46354" w:rsidP="001E2A02">
      <w:pPr>
        <w:pStyle w:val="Heading3"/>
        <w:spacing w:line="276" w:lineRule="auto"/>
        <w:jc w:val="both"/>
        <w:rPr>
          <w:rFonts w:eastAsia="Times New Roman" w:cs="Times New Roman"/>
          <w:sz w:val="20"/>
          <w:szCs w:val="24"/>
          <w:lang w:val="en-AU"/>
        </w:rPr>
      </w:pPr>
      <w:r w:rsidRPr="001E2A02">
        <w:rPr>
          <w:rFonts w:eastAsia="Times New Roman" w:cs="Times New Roman"/>
          <w:color w:val="auto"/>
          <w:sz w:val="20"/>
          <w:szCs w:val="24"/>
          <w:lang w:val="en-AU"/>
        </w:rPr>
        <w:t xml:space="preserve">The Company may conduct briefings for analysts and institutional investors from time to time to discuss matters concerning the Company.  Only the </w:t>
      </w:r>
      <w:r w:rsidR="00AA3CBD">
        <w:rPr>
          <w:rFonts w:eastAsia="Times New Roman" w:cs="Times New Roman"/>
          <w:color w:val="auto"/>
          <w:sz w:val="20"/>
          <w:szCs w:val="24"/>
          <w:lang w:val="en-AU"/>
        </w:rPr>
        <w:t xml:space="preserve">Chairperson, </w:t>
      </w:r>
      <w:r w:rsidRPr="001E2A02">
        <w:rPr>
          <w:rFonts w:eastAsia="Times New Roman" w:cs="Times New Roman"/>
          <w:color w:val="auto"/>
          <w:sz w:val="20"/>
          <w:szCs w:val="24"/>
          <w:lang w:val="en-AU"/>
        </w:rPr>
        <w:t>CEO and</w:t>
      </w:r>
      <w:r w:rsidR="00AA3CBD">
        <w:rPr>
          <w:rFonts w:eastAsia="Times New Roman" w:cs="Times New Roman"/>
          <w:color w:val="auto"/>
          <w:sz w:val="20"/>
          <w:szCs w:val="24"/>
          <w:lang w:val="en-AU"/>
        </w:rPr>
        <w:t>/or</w:t>
      </w:r>
      <w:r w:rsidRPr="001E2A02">
        <w:rPr>
          <w:rFonts w:eastAsia="Times New Roman" w:cs="Times New Roman"/>
          <w:color w:val="auto"/>
          <w:sz w:val="20"/>
          <w:szCs w:val="24"/>
          <w:lang w:val="en-AU"/>
        </w:rPr>
        <w:t xml:space="preserve"> CFO or approved representatives of the Company are authorised to speak with analysts and institutional investors.  Before each reporting period, the CEO and CFO will formulate guidelines for briefings for that period. The Company’s policy at these briefings is that:</w:t>
      </w:r>
    </w:p>
    <w:p w14:paraId="05937837" w14:textId="0B49CC4B" w:rsidR="00E46354" w:rsidRPr="001E2A02" w:rsidRDefault="00E46354" w:rsidP="001E2A02">
      <w:pPr>
        <w:pStyle w:val="Heading3"/>
        <w:numPr>
          <w:ilvl w:val="0"/>
          <w:numId w:val="32"/>
        </w:numPr>
        <w:spacing w:line="276" w:lineRule="auto"/>
        <w:jc w:val="both"/>
        <w:rPr>
          <w:rFonts w:eastAsia="Times New Roman" w:cs="Times New Roman"/>
          <w:sz w:val="20"/>
          <w:szCs w:val="24"/>
          <w:lang w:val="en-AU"/>
        </w:rPr>
      </w:pPr>
      <w:r w:rsidRPr="001E2A02">
        <w:rPr>
          <w:rFonts w:eastAsia="Times New Roman" w:cs="Times New Roman"/>
          <w:color w:val="auto"/>
          <w:sz w:val="20"/>
          <w:szCs w:val="24"/>
          <w:lang w:val="en-AU"/>
        </w:rPr>
        <w:t>the company will not disclose Price Sensitive Information at any meeting with an investor or analyst without formally disclosing it to the market beforehand</w:t>
      </w:r>
      <w:r w:rsidR="00E33E93" w:rsidRPr="001E2A02">
        <w:rPr>
          <w:rFonts w:eastAsia="Times New Roman" w:cs="Times New Roman"/>
          <w:color w:val="auto"/>
          <w:sz w:val="20"/>
          <w:szCs w:val="24"/>
          <w:lang w:val="en-AU"/>
        </w:rPr>
        <w:t>;</w:t>
      </w:r>
    </w:p>
    <w:p w14:paraId="4B90C0DB" w14:textId="292F0049" w:rsidR="00E46354" w:rsidRPr="001E2A02" w:rsidRDefault="00E46354" w:rsidP="001E2A02">
      <w:pPr>
        <w:pStyle w:val="Heading3"/>
        <w:numPr>
          <w:ilvl w:val="0"/>
          <w:numId w:val="32"/>
        </w:numPr>
        <w:spacing w:line="276" w:lineRule="auto"/>
        <w:jc w:val="both"/>
        <w:rPr>
          <w:rFonts w:eastAsia="Times New Roman" w:cs="Times New Roman"/>
          <w:sz w:val="20"/>
          <w:szCs w:val="24"/>
          <w:lang w:val="en-AU"/>
        </w:rPr>
      </w:pPr>
      <w:r w:rsidRPr="001E2A02">
        <w:rPr>
          <w:rFonts w:eastAsia="Times New Roman" w:cs="Times New Roman"/>
          <w:color w:val="auto"/>
          <w:sz w:val="20"/>
          <w:szCs w:val="24"/>
          <w:lang w:val="en-AU"/>
        </w:rPr>
        <w:t>ensure all responses are balanced, factual and truthful</w:t>
      </w:r>
      <w:r w:rsidR="00E33E93" w:rsidRPr="001E2A02">
        <w:rPr>
          <w:rFonts w:eastAsia="Times New Roman" w:cs="Times New Roman"/>
          <w:color w:val="auto"/>
          <w:sz w:val="20"/>
          <w:szCs w:val="24"/>
          <w:lang w:val="en-AU"/>
        </w:rPr>
        <w:t>;</w:t>
      </w:r>
    </w:p>
    <w:p w14:paraId="05778E2E" w14:textId="77777777" w:rsidR="00E46354" w:rsidRPr="001E2A02" w:rsidRDefault="00E46354" w:rsidP="001E2A02">
      <w:pPr>
        <w:pStyle w:val="Heading3"/>
        <w:numPr>
          <w:ilvl w:val="0"/>
          <w:numId w:val="32"/>
        </w:numPr>
        <w:spacing w:line="276" w:lineRule="auto"/>
        <w:jc w:val="both"/>
        <w:rPr>
          <w:rFonts w:eastAsia="Times New Roman" w:cs="Times New Roman"/>
          <w:sz w:val="20"/>
          <w:szCs w:val="24"/>
          <w:lang w:val="en-AU"/>
        </w:rPr>
      </w:pPr>
      <w:r w:rsidRPr="001E2A02">
        <w:rPr>
          <w:rFonts w:eastAsia="Times New Roman" w:cs="Times New Roman"/>
          <w:color w:val="auto"/>
          <w:sz w:val="20"/>
          <w:szCs w:val="24"/>
          <w:lang w:val="en-AU"/>
        </w:rPr>
        <w:t>the Company will not comment on price sensitive issues not already disclosed to the market; and</w:t>
      </w:r>
    </w:p>
    <w:p w14:paraId="5BC9E9D9" w14:textId="33C6F2C1" w:rsidR="00E46354" w:rsidRPr="001E2A02" w:rsidRDefault="00E46354" w:rsidP="001E2A02">
      <w:pPr>
        <w:pStyle w:val="Heading3"/>
        <w:numPr>
          <w:ilvl w:val="0"/>
          <w:numId w:val="32"/>
        </w:numPr>
        <w:spacing w:line="276" w:lineRule="auto"/>
        <w:jc w:val="both"/>
        <w:rPr>
          <w:rFonts w:eastAsia="Times New Roman" w:cs="Times New Roman"/>
          <w:sz w:val="20"/>
          <w:szCs w:val="24"/>
          <w:lang w:val="en-AU"/>
        </w:rPr>
      </w:pPr>
      <w:r w:rsidRPr="001E2A02">
        <w:rPr>
          <w:rFonts w:eastAsia="Times New Roman" w:cs="Times New Roman"/>
          <w:color w:val="auto"/>
          <w:sz w:val="20"/>
          <w:szCs w:val="24"/>
          <w:lang w:val="en-AU"/>
        </w:rPr>
        <w:t>any questions raised in relation to price sensitive issues not already disclosed to the market will not be answered or will be taken on notice.</w:t>
      </w:r>
    </w:p>
    <w:p w14:paraId="6C1D0FA8" w14:textId="3B8674E6" w:rsidR="00E46354" w:rsidRPr="001E2A02" w:rsidRDefault="00E46354" w:rsidP="001E2A02">
      <w:pPr>
        <w:pStyle w:val="Heading3"/>
        <w:spacing w:line="276" w:lineRule="auto"/>
        <w:jc w:val="both"/>
        <w:rPr>
          <w:rFonts w:eastAsia="Times New Roman" w:cs="Times New Roman"/>
          <w:sz w:val="20"/>
          <w:szCs w:val="24"/>
          <w:lang w:val="en-AU"/>
        </w:rPr>
      </w:pPr>
      <w:r w:rsidRPr="001E2A02">
        <w:rPr>
          <w:rFonts w:eastAsia="Times New Roman" w:cs="Times New Roman"/>
          <w:color w:val="auto"/>
          <w:sz w:val="20"/>
          <w:szCs w:val="24"/>
          <w:lang w:val="en-AU"/>
        </w:rPr>
        <w:t>If a question is taken on notice and the answer would involve the release of Price Sensitive Information, the information must be released through ASX before responding.</w:t>
      </w:r>
    </w:p>
    <w:p w14:paraId="63BA17D6" w14:textId="77777777" w:rsidR="00E33E93" w:rsidRPr="001E2A02" w:rsidRDefault="00E33E93" w:rsidP="00215D7F">
      <w:pPr>
        <w:pStyle w:val="Heading2"/>
        <w:spacing w:before="480" w:line="276" w:lineRule="auto"/>
        <w:jc w:val="both"/>
      </w:pPr>
      <w:r w:rsidRPr="001E2A02">
        <w:t>Media</w:t>
      </w:r>
    </w:p>
    <w:p w14:paraId="753156FD" w14:textId="3FEA6E17" w:rsidR="00E33E93" w:rsidRPr="001E2A02" w:rsidRDefault="008B5F4A" w:rsidP="001E2A02">
      <w:pPr>
        <w:pStyle w:val="Heading3"/>
        <w:spacing w:line="276" w:lineRule="auto"/>
        <w:jc w:val="both"/>
        <w:rPr>
          <w:rFonts w:eastAsia="Times New Roman" w:cs="Times New Roman"/>
          <w:color w:val="auto"/>
          <w:sz w:val="20"/>
          <w:szCs w:val="24"/>
          <w:lang w:val="en-AU"/>
        </w:rPr>
      </w:pPr>
      <w:r>
        <w:rPr>
          <w:rFonts w:eastAsia="Times New Roman" w:cs="Times New Roman"/>
          <w:color w:val="auto"/>
          <w:sz w:val="20"/>
          <w:szCs w:val="24"/>
          <w:lang w:val="en-AU"/>
        </w:rPr>
        <w:t>Megaport</w:t>
      </w:r>
      <w:r w:rsidR="00E33E93" w:rsidRPr="001E2A02">
        <w:rPr>
          <w:rFonts w:eastAsia="Times New Roman" w:cs="Times New Roman"/>
          <w:color w:val="auto"/>
          <w:sz w:val="20"/>
          <w:szCs w:val="24"/>
          <w:lang w:val="en-AU"/>
        </w:rPr>
        <w:t xml:space="preserve"> must not provide information to the media that contains material or Price Sensitive Information until </w:t>
      </w:r>
      <w:r>
        <w:rPr>
          <w:rFonts w:eastAsia="Times New Roman" w:cs="Times New Roman"/>
          <w:color w:val="auto"/>
          <w:sz w:val="20"/>
          <w:szCs w:val="24"/>
          <w:lang w:val="en-AU"/>
        </w:rPr>
        <w:t>Megaport</w:t>
      </w:r>
      <w:r w:rsidR="00E33E93" w:rsidRPr="001E2A02">
        <w:rPr>
          <w:rFonts w:eastAsia="Times New Roman" w:cs="Times New Roman"/>
          <w:color w:val="auto"/>
          <w:sz w:val="20"/>
          <w:szCs w:val="24"/>
          <w:lang w:val="en-AU"/>
        </w:rPr>
        <w:t xml:space="preserve"> has given the information to ASX and received an acknowledgment that ASX has released it to the market.</w:t>
      </w:r>
    </w:p>
    <w:p w14:paraId="00E3177C" w14:textId="2D10268C" w:rsidR="00E33E93" w:rsidRPr="001E2A02" w:rsidRDefault="00E33E93" w:rsidP="001E2A02">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 xml:space="preserve">Where the Board considers it appropriate, the media may be invited to participate in </w:t>
      </w:r>
      <w:proofErr w:type="spellStart"/>
      <w:r w:rsidR="008B5F4A">
        <w:rPr>
          <w:rFonts w:eastAsia="Times New Roman" w:cs="Times New Roman"/>
          <w:color w:val="auto"/>
          <w:sz w:val="20"/>
          <w:szCs w:val="24"/>
          <w:lang w:val="en-AU"/>
        </w:rPr>
        <w:t>Megaport</w:t>
      </w:r>
      <w:r w:rsidRPr="001E2A02">
        <w:rPr>
          <w:rFonts w:eastAsia="Times New Roman" w:cs="Times New Roman"/>
          <w:color w:val="auto"/>
          <w:sz w:val="20"/>
          <w:szCs w:val="24"/>
          <w:lang w:val="en-AU"/>
        </w:rPr>
        <w:t>’s</w:t>
      </w:r>
      <w:proofErr w:type="spellEnd"/>
      <w:r w:rsidRPr="001E2A02">
        <w:rPr>
          <w:rFonts w:eastAsia="Times New Roman" w:cs="Times New Roman"/>
          <w:color w:val="auto"/>
          <w:sz w:val="20"/>
          <w:szCs w:val="24"/>
          <w:lang w:val="en-AU"/>
        </w:rPr>
        <w:t xml:space="preserve"> presentations to investors and analysts.</w:t>
      </w:r>
    </w:p>
    <w:p w14:paraId="23088EFF" w14:textId="77777777" w:rsidR="00E33E93" w:rsidRPr="001E2A02" w:rsidRDefault="00E33E93" w:rsidP="001E2A02">
      <w:pPr>
        <w:pStyle w:val="Heading3"/>
        <w:spacing w:line="276" w:lineRule="auto"/>
        <w:jc w:val="both"/>
        <w:rPr>
          <w:rFonts w:eastAsia="Times New Roman" w:cs="Times New Roman"/>
          <w:color w:val="auto"/>
          <w:sz w:val="20"/>
          <w:szCs w:val="24"/>
          <w:lang w:val="en-AU"/>
        </w:rPr>
      </w:pPr>
      <w:r w:rsidRPr="001E2A02">
        <w:rPr>
          <w:rFonts w:eastAsia="Times New Roman" w:cs="Times New Roman"/>
          <w:color w:val="auto"/>
          <w:sz w:val="20"/>
          <w:szCs w:val="24"/>
          <w:lang w:val="en-AU"/>
        </w:rPr>
        <w:t>Press releases should be honest, fair and consistent with the terms of this policy.</w:t>
      </w:r>
    </w:p>
    <w:p w14:paraId="170C2959" w14:textId="47D45965" w:rsidR="00543237" w:rsidRPr="001E2A02" w:rsidRDefault="00E33E93" w:rsidP="001E2A02">
      <w:pPr>
        <w:spacing w:line="276" w:lineRule="auto"/>
        <w:jc w:val="both"/>
        <w:rPr>
          <w:rFonts w:eastAsia="Times New Roman" w:cs="Times New Roman"/>
          <w:szCs w:val="24"/>
          <w:lang w:val="en-AU"/>
        </w:rPr>
      </w:pPr>
      <w:r w:rsidRPr="001E2A02">
        <w:rPr>
          <w:rFonts w:eastAsia="Times New Roman" w:cs="Times New Roman"/>
          <w:szCs w:val="24"/>
          <w:lang w:val="en-AU"/>
        </w:rPr>
        <w:t xml:space="preserve">The only officers authorised to speak on behalf of the Company on market disclosure issues are the </w:t>
      </w:r>
      <w:r w:rsidR="00E948B1">
        <w:rPr>
          <w:rFonts w:eastAsia="Times New Roman" w:cs="Times New Roman"/>
          <w:szCs w:val="24"/>
          <w:lang w:val="en-AU"/>
        </w:rPr>
        <w:t>Chairperson</w:t>
      </w:r>
      <w:r w:rsidRPr="001E2A02">
        <w:rPr>
          <w:rFonts w:eastAsia="Times New Roman" w:cs="Times New Roman"/>
          <w:szCs w:val="24"/>
          <w:lang w:val="en-AU"/>
        </w:rPr>
        <w:t xml:space="preserve"> or the CEO.</w:t>
      </w:r>
    </w:p>
    <w:p w14:paraId="2D7867BF" w14:textId="77777777" w:rsidR="00E445B4" w:rsidRDefault="00E445B4">
      <w:pPr>
        <w:widowControl/>
        <w:autoSpaceDE/>
        <w:autoSpaceDN/>
        <w:adjustRightInd/>
        <w:spacing w:after="0" w:line="240" w:lineRule="auto"/>
        <w:rPr>
          <w:color w:val="CD0920"/>
          <w:sz w:val="48"/>
          <w:szCs w:val="48"/>
        </w:rPr>
      </w:pPr>
      <w:r>
        <w:br w:type="page"/>
      </w:r>
    </w:p>
    <w:p w14:paraId="7ADB5193" w14:textId="1BD0F681" w:rsidR="00017880" w:rsidRDefault="00017880" w:rsidP="00375AB7">
      <w:pPr>
        <w:pStyle w:val="Heading1"/>
        <w:spacing w:line="276" w:lineRule="auto"/>
        <w:jc w:val="both"/>
      </w:pPr>
      <w:bookmarkStart w:id="6" w:name="_GoBack"/>
      <w:bookmarkEnd w:id="4"/>
      <w:bookmarkEnd w:id="5"/>
      <w:bookmarkEnd w:id="6"/>
    </w:p>
    <w:p w14:paraId="4C7A3EF8" w14:textId="77777777" w:rsidR="00E948B1" w:rsidRPr="00E948B1" w:rsidRDefault="00E948B1" w:rsidP="00215D7F"/>
    <w:p w14:paraId="2B70FD3D" w14:textId="482A57EC" w:rsidR="00B93613" w:rsidRDefault="00B93613" w:rsidP="00B93613">
      <w:pPr>
        <w:pStyle w:val="Heading1"/>
        <w:spacing w:line="276" w:lineRule="auto"/>
        <w:jc w:val="both"/>
      </w:pPr>
      <w:r>
        <w:t>Definitions and Interpretation</w:t>
      </w:r>
    </w:p>
    <w:p w14:paraId="28AFC788" w14:textId="77777777" w:rsidR="00B93613" w:rsidRPr="001638F3" w:rsidRDefault="00B93613" w:rsidP="00B93613">
      <w:pPr>
        <w:pStyle w:val="BodyText"/>
        <w:spacing w:line="276" w:lineRule="auto"/>
        <w:jc w:val="both"/>
        <w:rPr>
          <w:rFonts w:ascii="Arial" w:hAnsi="Arial" w:cs="Arial"/>
          <w:szCs w:val="20"/>
        </w:rPr>
      </w:pPr>
      <w:r w:rsidRPr="001638F3">
        <w:rPr>
          <w:rFonts w:ascii="Arial" w:hAnsi="Arial" w:cs="Arial"/>
          <w:szCs w:val="20"/>
        </w:rPr>
        <w:t>In this document:</w:t>
      </w:r>
    </w:p>
    <w:p w14:paraId="7A8672FC" w14:textId="77777777" w:rsidR="00B93613" w:rsidRPr="001638F3" w:rsidRDefault="00B93613" w:rsidP="00B93613">
      <w:pPr>
        <w:keepNext/>
        <w:spacing w:line="276" w:lineRule="auto"/>
        <w:jc w:val="both"/>
        <w:rPr>
          <w:szCs w:val="20"/>
        </w:rPr>
      </w:pPr>
    </w:p>
    <w:tbl>
      <w:tblPr>
        <w:tblW w:w="0" w:type="auto"/>
        <w:tblInd w:w="708" w:type="dxa"/>
        <w:tblLook w:val="0000" w:firstRow="0" w:lastRow="0" w:firstColumn="0" w:lastColumn="0" w:noHBand="0" w:noVBand="0"/>
      </w:tblPr>
      <w:tblGrid>
        <w:gridCol w:w="2756"/>
        <w:gridCol w:w="5250"/>
      </w:tblGrid>
      <w:tr w:rsidR="00B93613" w:rsidRPr="001638F3" w14:paraId="1E026E98" w14:textId="77777777" w:rsidTr="00B93613">
        <w:trPr>
          <w:cantSplit/>
          <w:tblHeader/>
        </w:trPr>
        <w:tc>
          <w:tcPr>
            <w:tcW w:w="2756" w:type="dxa"/>
            <w:tcBorders>
              <w:bottom w:val="single" w:sz="4" w:space="0" w:color="auto"/>
            </w:tcBorders>
          </w:tcPr>
          <w:p w14:paraId="12F631CC" w14:textId="77777777" w:rsidR="00B93613" w:rsidRPr="001638F3" w:rsidRDefault="00B93613" w:rsidP="00B93613">
            <w:pPr>
              <w:pStyle w:val="TableSubHeading"/>
              <w:spacing w:line="276" w:lineRule="auto"/>
              <w:jc w:val="both"/>
              <w:rPr>
                <w:rFonts w:ascii="Arial" w:hAnsi="Arial" w:cs="Arial"/>
                <w:szCs w:val="20"/>
              </w:rPr>
            </w:pPr>
            <w:r w:rsidRPr="001638F3">
              <w:rPr>
                <w:rFonts w:ascii="Arial" w:hAnsi="Arial" w:cs="Arial"/>
                <w:szCs w:val="20"/>
              </w:rPr>
              <w:t>Term</w:t>
            </w:r>
          </w:p>
        </w:tc>
        <w:tc>
          <w:tcPr>
            <w:tcW w:w="5250" w:type="dxa"/>
            <w:tcBorders>
              <w:bottom w:val="single" w:sz="4" w:space="0" w:color="auto"/>
            </w:tcBorders>
          </w:tcPr>
          <w:p w14:paraId="09E12984" w14:textId="77777777" w:rsidR="00B93613" w:rsidRPr="001638F3" w:rsidRDefault="00B93613" w:rsidP="00B93613">
            <w:pPr>
              <w:pStyle w:val="TableSubHeading"/>
              <w:spacing w:line="276" w:lineRule="auto"/>
              <w:jc w:val="both"/>
              <w:rPr>
                <w:rFonts w:ascii="Arial" w:hAnsi="Arial" w:cs="Arial"/>
                <w:szCs w:val="20"/>
              </w:rPr>
            </w:pPr>
            <w:r w:rsidRPr="001638F3">
              <w:rPr>
                <w:rFonts w:ascii="Arial" w:hAnsi="Arial" w:cs="Arial"/>
                <w:szCs w:val="20"/>
              </w:rPr>
              <w:t>Definition</w:t>
            </w:r>
          </w:p>
        </w:tc>
      </w:tr>
      <w:tr w:rsidR="00B93613" w:rsidRPr="001638F3" w14:paraId="2D08B03E" w14:textId="77777777" w:rsidTr="00B93613">
        <w:tc>
          <w:tcPr>
            <w:tcW w:w="2756" w:type="dxa"/>
          </w:tcPr>
          <w:p w14:paraId="4B76B2E5"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ASX</w:t>
            </w:r>
          </w:p>
        </w:tc>
        <w:tc>
          <w:tcPr>
            <w:tcW w:w="5250" w:type="dxa"/>
          </w:tcPr>
          <w:p w14:paraId="23B9E165" w14:textId="77777777"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ASX Limited ACN 008 624 691.</w:t>
            </w:r>
          </w:p>
        </w:tc>
      </w:tr>
      <w:tr w:rsidR="00B93613" w:rsidRPr="001638F3" w14:paraId="3A6C421D" w14:textId="77777777" w:rsidTr="00B93613">
        <w:trPr>
          <w:cantSplit/>
        </w:trPr>
        <w:tc>
          <w:tcPr>
            <w:tcW w:w="2756" w:type="dxa"/>
          </w:tcPr>
          <w:p w14:paraId="415DF81D"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ASX Listing Rules</w:t>
            </w:r>
          </w:p>
        </w:tc>
        <w:tc>
          <w:tcPr>
            <w:tcW w:w="5250" w:type="dxa"/>
          </w:tcPr>
          <w:p w14:paraId="4D045636" w14:textId="77777777"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the listing rules for the time being in force of ASX.</w:t>
            </w:r>
          </w:p>
        </w:tc>
      </w:tr>
      <w:tr w:rsidR="00B93613" w:rsidRPr="001638F3" w14:paraId="4E069360" w14:textId="77777777" w:rsidTr="00B93613">
        <w:tc>
          <w:tcPr>
            <w:tcW w:w="2756" w:type="dxa"/>
          </w:tcPr>
          <w:p w14:paraId="66312CF9"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Board</w:t>
            </w:r>
          </w:p>
        </w:tc>
        <w:tc>
          <w:tcPr>
            <w:tcW w:w="5250" w:type="dxa"/>
          </w:tcPr>
          <w:p w14:paraId="07972F84" w14:textId="77777777"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the board of Directors.</w:t>
            </w:r>
          </w:p>
        </w:tc>
      </w:tr>
      <w:tr w:rsidR="00B93613" w:rsidRPr="001638F3" w14:paraId="61EAA134" w14:textId="77777777" w:rsidTr="00B93613">
        <w:tc>
          <w:tcPr>
            <w:tcW w:w="2756" w:type="dxa"/>
          </w:tcPr>
          <w:p w14:paraId="6D509B18" w14:textId="38764551"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Chair</w:t>
            </w:r>
            <w:r w:rsidR="00E948B1" w:rsidRPr="001638F3">
              <w:rPr>
                <w:rFonts w:ascii="Arial" w:hAnsi="Arial" w:cs="Arial"/>
                <w:b/>
                <w:bCs/>
                <w:szCs w:val="20"/>
              </w:rPr>
              <w:t>person</w:t>
            </w:r>
          </w:p>
        </w:tc>
        <w:tc>
          <w:tcPr>
            <w:tcW w:w="5250" w:type="dxa"/>
          </w:tcPr>
          <w:p w14:paraId="485AE406" w14:textId="59B00234"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the chair</w:t>
            </w:r>
            <w:r w:rsidR="00E948B1" w:rsidRPr="001638F3">
              <w:rPr>
                <w:rFonts w:ascii="Arial" w:hAnsi="Arial" w:cs="Arial"/>
                <w:szCs w:val="20"/>
              </w:rPr>
              <w:t>person</w:t>
            </w:r>
            <w:r w:rsidRPr="001638F3">
              <w:rPr>
                <w:rFonts w:ascii="Arial" w:hAnsi="Arial" w:cs="Arial"/>
                <w:szCs w:val="20"/>
              </w:rPr>
              <w:t xml:space="preserve"> of the Board, or in the absence of the incumbent chair</w:t>
            </w:r>
            <w:r w:rsidR="00E948B1" w:rsidRPr="001638F3">
              <w:rPr>
                <w:rFonts w:ascii="Arial" w:hAnsi="Arial" w:cs="Arial"/>
                <w:szCs w:val="20"/>
              </w:rPr>
              <w:t>person</w:t>
            </w:r>
            <w:r w:rsidRPr="001638F3">
              <w:rPr>
                <w:rFonts w:ascii="Arial" w:hAnsi="Arial" w:cs="Arial"/>
                <w:szCs w:val="20"/>
              </w:rPr>
              <w:t>, the deputy chair</w:t>
            </w:r>
            <w:r w:rsidR="00E948B1" w:rsidRPr="001638F3">
              <w:rPr>
                <w:rFonts w:ascii="Arial" w:hAnsi="Arial" w:cs="Arial"/>
                <w:szCs w:val="20"/>
              </w:rPr>
              <w:t>person</w:t>
            </w:r>
            <w:r w:rsidRPr="001638F3">
              <w:rPr>
                <w:rFonts w:ascii="Arial" w:hAnsi="Arial" w:cs="Arial"/>
                <w:szCs w:val="20"/>
              </w:rPr>
              <w:t>.</w:t>
            </w:r>
          </w:p>
        </w:tc>
      </w:tr>
      <w:tr w:rsidR="00B93613" w:rsidRPr="001638F3" w14:paraId="03FC2B64" w14:textId="77777777" w:rsidTr="00B93613">
        <w:tc>
          <w:tcPr>
            <w:tcW w:w="2756" w:type="dxa"/>
          </w:tcPr>
          <w:p w14:paraId="01373EBB"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CEO</w:t>
            </w:r>
          </w:p>
        </w:tc>
        <w:tc>
          <w:tcPr>
            <w:tcW w:w="5250" w:type="dxa"/>
          </w:tcPr>
          <w:p w14:paraId="3F6E428F" w14:textId="77777777"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the executive officer (by whatever title known, whether chief executive officer, managing director or otherwise) with sole responsibility for the strategic and operational management of the Group.</w:t>
            </w:r>
          </w:p>
        </w:tc>
      </w:tr>
      <w:tr w:rsidR="00B93613" w:rsidRPr="001638F3" w14:paraId="3CF1F144" w14:textId="77777777" w:rsidTr="00B93613">
        <w:tc>
          <w:tcPr>
            <w:tcW w:w="2756" w:type="dxa"/>
          </w:tcPr>
          <w:p w14:paraId="7C19462F"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CFO</w:t>
            </w:r>
          </w:p>
        </w:tc>
        <w:tc>
          <w:tcPr>
            <w:tcW w:w="5250" w:type="dxa"/>
          </w:tcPr>
          <w:p w14:paraId="70A67561" w14:textId="77777777"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the chief financial officer or equivalent officer of the Company (by whatever title known).</w:t>
            </w:r>
          </w:p>
        </w:tc>
      </w:tr>
      <w:tr w:rsidR="00B93613" w:rsidRPr="001638F3" w14:paraId="204FDD92" w14:textId="77777777" w:rsidTr="00B93613">
        <w:tc>
          <w:tcPr>
            <w:tcW w:w="2756" w:type="dxa"/>
          </w:tcPr>
          <w:p w14:paraId="28C18E41"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COO</w:t>
            </w:r>
          </w:p>
        </w:tc>
        <w:tc>
          <w:tcPr>
            <w:tcW w:w="5250" w:type="dxa"/>
          </w:tcPr>
          <w:p w14:paraId="247B1135" w14:textId="77777777"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the chief operations officer or equivalent officer of the Company.</w:t>
            </w:r>
          </w:p>
        </w:tc>
      </w:tr>
      <w:tr w:rsidR="00B93613" w:rsidRPr="001638F3" w14:paraId="7DD0EC49" w14:textId="77777777" w:rsidTr="00B93613">
        <w:trPr>
          <w:cantSplit/>
        </w:trPr>
        <w:tc>
          <w:tcPr>
            <w:tcW w:w="2756" w:type="dxa"/>
          </w:tcPr>
          <w:p w14:paraId="32F3F02C" w14:textId="22B40991" w:rsidR="00B93613" w:rsidRPr="001638F3" w:rsidRDefault="00B93613" w:rsidP="00B93613">
            <w:pPr>
              <w:pStyle w:val="TableText"/>
              <w:spacing w:line="276" w:lineRule="auto"/>
              <w:jc w:val="both"/>
              <w:rPr>
                <w:rFonts w:ascii="Arial" w:hAnsi="Arial" w:cs="Arial"/>
                <w:bCs/>
                <w:szCs w:val="20"/>
              </w:rPr>
            </w:pPr>
            <w:r w:rsidRPr="001638F3">
              <w:rPr>
                <w:rFonts w:ascii="Arial" w:hAnsi="Arial" w:cs="Arial"/>
                <w:b/>
                <w:bCs/>
                <w:szCs w:val="20"/>
              </w:rPr>
              <w:t xml:space="preserve">Company or </w:t>
            </w:r>
            <w:r w:rsidR="008B5F4A" w:rsidRPr="001638F3">
              <w:rPr>
                <w:rFonts w:ascii="Arial" w:hAnsi="Arial" w:cs="Arial"/>
                <w:b/>
                <w:bCs/>
                <w:szCs w:val="20"/>
              </w:rPr>
              <w:t>Megaport</w:t>
            </w:r>
            <w:r w:rsidRPr="001638F3">
              <w:rPr>
                <w:rFonts w:ascii="Arial" w:hAnsi="Arial" w:cs="Arial"/>
                <w:b/>
                <w:bCs/>
                <w:szCs w:val="20"/>
              </w:rPr>
              <w:t xml:space="preserve"> </w:t>
            </w:r>
          </w:p>
        </w:tc>
        <w:tc>
          <w:tcPr>
            <w:tcW w:w="5250" w:type="dxa"/>
          </w:tcPr>
          <w:p w14:paraId="5351A26C" w14:textId="73F9F010"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 xml:space="preserve">means </w:t>
            </w:r>
            <w:r w:rsidR="008B5F4A" w:rsidRPr="001638F3">
              <w:rPr>
                <w:rFonts w:ascii="Arial" w:hAnsi="Arial" w:cs="Arial"/>
                <w:szCs w:val="20"/>
              </w:rPr>
              <w:t>Megaport</w:t>
            </w:r>
            <w:r w:rsidRPr="001638F3">
              <w:rPr>
                <w:rFonts w:ascii="Arial" w:hAnsi="Arial" w:cs="Arial"/>
                <w:szCs w:val="20"/>
              </w:rPr>
              <w:t xml:space="preserve"> Limited ACN 169 263 094, or its successors.</w:t>
            </w:r>
          </w:p>
        </w:tc>
      </w:tr>
      <w:tr w:rsidR="00B93613" w:rsidRPr="001638F3" w14:paraId="1EFEEBC9" w14:textId="77777777" w:rsidTr="00B93613">
        <w:trPr>
          <w:cantSplit/>
        </w:trPr>
        <w:tc>
          <w:tcPr>
            <w:tcW w:w="2756" w:type="dxa"/>
          </w:tcPr>
          <w:p w14:paraId="5305B1AB"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Company Secretary</w:t>
            </w:r>
          </w:p>
        </w:tc>
        <w:tc>
          <w:tcPr>
            <w:tcW w:w="5250" w:type="dxa"/>
          </w:tcPr>
          <w:p w14:paraId="1C7DBE6C" w14:textId="5A7114A7"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 xml:space="preserve">means the company secretary of </w:t>
            </w:r>
            <w:r w:rsidR="008B5F4A" w:rsidRPr="001638F3">
              <w:rPr>
                <w:rFonts w:ascii="Arial" w:hAnsi="Arial" w:cs="Arial"/>
                <w:szCs w:val="20"/>
              </w:rPr>
              <w:t>Megaport</w:t>
            </w:r>
            <w:r w:rsidRPr="001638F3">
              <w:rPr>
                <w:rFonts w:ascii="Arial" w:hAnsi="Arial" w:cs="Arial"/>
                <w:szCs w:val="20"/>
              </w:rPr>
              <w:t xml:space="preserve">. </w:t>
            </w:r>
          </w:p>
        </w:tc>
      </w:tr>
      <w:tr w:rsidR="00B93613" w:rsidRPr="001638F3" w14:paraId="7430CF77" w14:textId="77777777" w:rsidTr="00B93613">
        <w:trPr>
          <w:cantSplit/>
        </w:trPr>
        <w:tc>
          <w:tcPr>
            <w:tcW w:w="2756" w:type="dxa"/>
            <w:vAlign w:val="center"/>
          </w:tcPr>
          <w:p w14:paraId="34A83A7D" w14:textId="4E43D704" w:rsidR="00B93613" w:rsidRPr="001638F3" w:rsidRDefault="00B93613" w:rsidP="00B93613">
            <w:pPr>
              <w:pStyle w:val="TableText"/>
              <w:spacing w:line="276" w:lineRule="auto"/>
              <w:rPr>
                <w:rFonts w:ascii="Arial" w:hAnsi="Arial" w:cs="Arial"/>
                <w:b/>
                <w:bCs/>
                <w:szCs w:val="20"/>
              </w:rPr>
            </w:pPr>
            <w:r w:rsidRPr="001638F3">
              <w:rPr>
                <w:rFonts w:ascii="Arial" w:hAnsi="Arial" w:cs="Arial"/>
                <w:b/>
                <w:bCs/>
                <w:szCs w:val="20"/>
              </w:rPr>
              <w:t>Continuous Disclosure Announcement</w:t>
            </w:r>
          </w:p>
        </w:tc>
        <w:tc>
          <w:tcPr>
            <w:tcW w:w="5250" w:type="dxa"/>
          </w:tcPr>
          <w:p w14:paraId="34D8974A" w14:textId="1BEA8B08"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an announcement issued by the Company for the purposes of disclosing Price Sensitive Information.</w:t>
            </w:r>
          </w:p>
        </w:tc>
      </w:tr>
      <w:tr w:rsidR="00B93613" w:rsidRPr="001638F3" w14:paraId="74AC6859" w14:textId="77777777" w:rsidTr="00B93613">
        <w:tc>
          <w:tcPr>
            <w:tcW w:w="2756" w:type="dxa"/>
          </w:tcPr>
          <w:p w14:paraId="0F94036A"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Corporations Act</w:t>
            </w:r>
          </w:p>
        </w:tc>
        <w:tc>
          <w:tcPr>
            <w:tcW w:w="5250" w:type="dxa"/>
          </w:tcPr>
          <w:p w14:paraId="3C53C4A9" w14:textId="77777777" w:rsidR="00B93613" w:rsidRPr="001638F3" w:rsidRDefault="00B93613" w:rsidP="00B93613">
            <w:pPr>
              <w:pStyle w:val="TableText"/>
              <w:spacing w:line="276" w:lineRule="auto"/>
              <w:jc w:val="both"/>
              <w:rPr>
                <w:rFonts w:ascii="Arial" w:hAnsi="Arial" w:cs="Arial"/>
                <w:iCs/>
                <w:szCs w:val="20"/>
              </w:rPr>
            </w:pPr>
            <w:r w:rsidRPr="001638F3">
              <w:rPr>
                <w:rFonts w:ascii="Arial" w:hAnsi="Arial" w:cs="Arial"/>
                <w:szCs w:val="20"/>
              </w:rPr>
              <w:t xml:space="preserve">means </w:t>
            </w:r>
            <w:r w:rsidRPr="001638F3">
              <w:rPr>
                <w:rFonts w:ascii="Arial" w:hAnsi="Arial" w:cs="Arial"/>
                <w:i/>
                <w:iCs/>
                <w:szCs w:val="20"/>
              </w:rPr>
              <w:t xml:space="preserve">Corporations Act 2001 </w:t>
            </w:r>
            <w:r w:rsidRPr="001638F3">
              <w:rPr>
                <w:rFonts w:ascii="Arial" w:hAnsi="Arial" w:cs="Arial"/>
                <w:szCs w:val="20"/>
              </w:rPr>
              <w:t>(</w:t>
            </w:r>
            <w:proofErr w:type="spellStart"/>
            <w:r w:rsidRPr="001638F3">
              <w:rPr>
                <w:rFonts w:ascii="Arial" w:hAnsi="Arial" w:cs="Arial"/>
                <w:szCs w:val="20"/>
              </w:rPr>
              <w:t>Cth</w:t>
            </w:r>
            <w:proofErr w:type="spellEnd"/>
            <w:r w:rsidRPr="001638F3">
              <w:rPr>
                <w:rFonts w:ascii="Arial" w:hAnsi="Arial" w:cs="Arial"/>
                <w:szCs w:val="20"/>
              </w:rPr>
              <w:t>).</w:t>
            </w:r>
          </w:p>
        </w:tc>
      </w:tr>
      <w:tr w:rsidR="00B93613" w:rsidRPr="001638F3" w14:paraId="774AA4E7" w14:textId="77777777" w:rsidTr="00B93613">
        <w:tc>
          <w:tcPr>
            <w:tcW w:w="2756" w:type="dxa"/>
          </w:tcPr>
          <w:p w14:paraId="152C2030"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Director</w:t>
            </w:r>
          </w:p>
        </w:tc>
        <w:tc>
          <w:tcPr>
            <w:tcW w:w="5250" w:type="dxa"/>
          </w:tcPr>
          <w:p w14:paraId="58DB7CAC" w14:textId="77777777"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a director of the Company.</w:t>
            </w:r>
          </w:p>
        </w:tc>
      </w:tr>
      <w:tr w:rsidR="00B93613" w:rsidRPr="001638F3" w14:paraId="272C4D05" w14:textId="77777777" w:rsidTr="00B93613">
        <w:tc>
          <w:tcPr>
            <w:tcW w:w="2756" w:type="dxa"/>
          </w:tcPr>
          <w:p w14:paraId="05A52AA2" w14:textId="0FE46862"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Executive Management</w:t>
            </w:r>
          </w:p>
        </w:tc>
        <w:tc>
          <w:tcPr>
            <w:tcW w:w="5250" w:type="dxa"/>
          </w:tcPr>
          <w:p w14:paraId="2C612DF1" w14:textId="38200C72"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the CEO, CFO, COO and General Counsel.</w:t>
            </w:r>
          </w:p>
        </w:tc>
      </w:tr>
      <w:tr w:rsidR="00B93613" w:rsidRPr="001638F3" w14:paraId="16DAD46E" w14:textId="77777777" w:rsidTr="00B93613">
        <w:tc>
          <w:tcPr>
            <w:tcW w:w="2756" w:type="dxa"/>
          </w:tcPr>
          <w:p w14:paraId="699383D1"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General Counsel</w:t>
            </w:r>
          </w:p>
        </w:tc>
        <w:tc>
          <w:tcPr>
            <w:tcW w:w="5250" w:type="dxa"/>
          </w:tcPr>
          <w:p w14:paraId="5B34E24F" w14:textId="77777777" w:rsidR="00B93613" w:rsidRPr="001638F3" w:rsidDel="000E0B2D" w:rsidRDefault="00B93613" w:rsidP="00B93613">
            <w:pPr>
              <w:pStyle w:val="TableText"/>
              <w:spacing w:line="276" w:lineRule="auto"/>
              <w:jc w:val="both"/>
              <w:rPr>
                <w:rFonts w:ascii="Arial" w:hAnsi="Arial" w:cs="Arial"/>
                <w:szCs w:val="20"/>
              </w:rPr>
            </w:pPr>
            <w:r w:rsidRPr="001638F3">
              <w:rPr>
                <w:rFonts w:ascii="Arial" w:hAnsi="Arial" w:cs="Arial"/>
                <w:szCs w:val="20"/>
              </w:rPr>
              <w:t>means the general counsel or equivalent officer of the Company.</w:t>
            </w:r>
          </w:p>
        </w:tc>
      </w:tr>
      <w:tr w:rsidR="00B93613" w:rsidRPr="001638F3" w14:paraId="51C65B0F" w14:textId="77777777" w:rsidTr="00B93613">
        <w:tc>
          <w:tcPr>
            <w:tcW w:w="2756" w:type="dxa"/>
          </w:tcPr>
          <w:p w14:paraId="641450BB" w14:textId="408A4EA0"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Group</w:t>
            </w:r>
          </w:p>
        </w:tc>
        <w:tc>
          <w:tcPr>
            <w:tcW w:w="5250" w:type="dxa"/>
          </w:tcPr>
          <w:p w14:paraId="7A6A0ECA" w14:textId="68D83CFD"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the Company and its controlled entities.</w:t>
            </w:r>
          </w:p>
        </w:tc>
      </w:tr>
      <w:tr w:rsidR="00B93613" w:rsidRPr="001638F3" w14:paraId="5426041C" w14:textId="77777777" w:rsidTr="00B93613">
        <w:trPr>
          <w:cantSplit/>
        </w:trPr>
        <w:tc>
          <w:tcPr>
            <w:tcW w:w="2756" w:type="dxa"/>
          </w:tcPr>
          <w:p w14:paraId="41A03C12"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Policy</w:t>
            </w:r>
          </w:p>
        </w:tc>
        <w:tc>
          <w:tcPr>
            <w:tcW w:w="5250" w:type="dxa"/>
          </w:tcPr>
          <w:p w14:paraId="3B2D4E6A" w14:textId="77777777"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the policy contained in this document or in any amending or replacement document of similar nature.</w:t>
            </w:r>
          </w:p>
        </w:tc>
      </w:tr>
      <w:tr w:rsidR="00B93613" w:rsidRPr="001638F3" w14:paraId="090B4041" w14:textId="77777777" w:rsidTr="00B93613">
        <w:tc>
          <w:tcPr>
            <w:tcW w:w="2756" w:type="dxa"/>
          </w:tcPr>
          <w:p w14:paraId="51788A93" w14:textId="41819CCF" w:rsidR="00B93613" w:rsidRPr="001638F3" w:rsidRDefault="00B93613" w:rsidP="00B93613">
            <w:pPr>
              <w:pStyle w:val="TableText"/>
              <w:spacing w:line="276" w:lineRule="auto"/>
              <w:ind w:left="1" w:right="980" w:hanging="1"/>
              <w:jc w:val="both"/>
              <w:rPr>
                <w:rFonts w:ascii="Arial" w:hAnsi="Arial" w:cs="Arial"/>
                <w:b/>
                <w:bCs/>
                <w:szCs w:val="20"/>
              </w:rPr>
            </w:pPr>
            <w:r w:rsidRPr="001638F3">
              <w:rPr>
                <w:rFonts w:ascii="Arial" w:hAnsi="Arial" w:cs="Arial"/>
                <w:b/>
                <w:bCs/>
                <w:szCs w:val="20"/>
              </w:rPr>
              <w:t>Price Sensitive Information</w:t>
            </w:r>
          </w:p>
        </w:tc>
        <w:tc>
          <w:tcPr>
            <w:tcW w:w="5250" w:type="dxa"/>
          </w:tcPr>
          <w:p w14:paraId="18691288" w14:textId="77777777" w:rsidR="00B93613" w:rsidRPr="001638F3" w:rsidRDefault="00B93613" w:rsidP="00B93613">
            <w:pPr>
              <w:pStyle w:val="BodyText"/>
              <w:spacing w:line="276" w:lineRule="auto"/>
              <w:ind w:left="0"/>
              <w:jc w:val="both"/>
              <w:rPr>
                <w:rFonts w:ascii="Arial" w:hAnsi="Arial" w:cs="Arial"/>
                <w:szCs w:val="20"/>
              </w:rPr>
            </w:pPr>
            <w:r w:rsidRPr="001638F3">
              <w:rPr>
                <w:rFonts w:ascii="Arial" w:hAnsi="Arial" w:cs="Arial"/>
                <w:szCs w:val="20"/>
              </w:rPr>
              <w:t>means any information concerning the Group that a reasonable person would expect to have a material effect on the price or value of Securities’</w:t>
            </w:r>
          </w:p>
          <w:p w14:paraId="11F898D1" w14:textId="0DCF1EF9" w:rsidR="00B93613" w:rsidRPr="001638F3" w:rsidRDefault="00B93613" w:rsidP="00B93613">
            <w:pPr>
              <w:pStyle w:val="TableText"/>
              <w:spacing w:line="276" w:lineRule="auto"/>
              <w:jc w:val="both"/>
              <w:rPr>
                <w:rFonts w:ascii="Arial" w:hAnsi="Arial" w:cs="Arial"/>
                <w:szCs w:val="20"/>
              </w:rPr>
            </w:pPr>
          </w:p>
        </w:tc>
      </w:tr>
      <w:tr w:rsidR="00B93613" w:rsidRPr="001638F3" w14:paraId="3896CE51" w14:textId="77777777" w:rsidTr="00B93613">
        <w:tc>
          <w:tcPr>
            <w:tcW w:w="2756" w:type="dxa"/>
          </w:tcPr>
          <w:p w14:paraId="0FACA52E"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Securities</w:t>
            </w:r>
          </w:p>
        </w:tc>
        <w:tc>
          <w:tcPr>
            <w:tcW w:w="5250" w:type="dxa"/>
          </w:tcPr>
          <w:p w14:paraId="6D498596" w14:textId="77777777"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any equity, debt or other securities of any kind issued by the Company.</w:t>
            </w:r>
          </w:p>
        </w:tc>
      </w:tr>
      <w:tr w:rsidR="00B93613" w:rsidRPr="001638F3" w14:paraId="4BF410F4" w14:textId="77777777" w:rsidTr="00B93613">
        <w:trPr>
          <w:cantSplit/>
        </w:trPr>
        <w:tc>
          <w:tcPr>
            <w:tcW w:w="2756" w:type="dxa"/>
          </w:tcPr>
          <w:p w14:paraId="0C75D8F6" w14:textId="77777777" w:rsidR="00B93613" w:rsidRPr="001638F3" w:rsidRDefault="00B93613" w:rsidP="00B93613">
            <w:pPr>
              <w:pStyle w:val="TableText"/>
              <w:spacing w:line="276" w:lineRule="auto"/>
              <w:jc w:val="both"/>
              <w:rPr>
                <w:rFonts w:ascii="Arial" w:hAnsi="Arial" w:cs="Arial"/>
                <w:b/>
                <w:bCs/>
                <w:szCs w:val="20"/>
              </w:rPr>
            </w:pPr>
            <w:r w:rsidRPr="001638F3">
              <w:rPr>
                <w:rFonts w:ascii="Arial" w:hAnsi="Arial" w:cs="Arial"/>
                <w:b/>
                <w:bCs/>
                <w:szCs w:val="20"/>
              </w:rPr>
              <w:t>Staff</w:t>
            </w:r>
          </w:p>
        </w:tc>
        <w:tc>
          <w:tcPr>
            <w:tcW w:w="5250" w:type="dxa"/>
          </w:tcPr>
          <w:p w14:paraId="20111F8C" w14:textId="5DE3F88B" w:rsidR="00B93613" w:rsidRPr="001638F3" w:rsidRDefault="00B93613" w:rsidP="00B93613">
            <w:pPr>
              <w:pStyle w:val="TableText"/>
              <w:spacing w:line="276" w:lineRule="auto"/>
              <w:jc w:val="both"/>
              <w:rPr>
                <w:rFonts w:ascii="Arial" w:hAnsi="Arial" w:cs="Arial"/>
                <w:szCs w:val="20"/>
              </w:rPr>
            </w:pPr>
            <w:r w:rsidRPr="001638F3">
              <w:rPr>
                <w:rFonts w:ascii="Arial" w:hAnsi="Arial" w:cs="Arial"/>
                <w:szCs w:val="20"/>
              </w:rPr>
              <w:t>means Directors, Executive Management and employees of the Company or the Group.</w:t>
            </w:r>
          </w:p>
        </w:tc>
      </w:tr>
    </w:tbl>
    <w:p w14:paraId="6D3B4B56" w14:textId="77777777" w:rsidR="00B93613" w:rsidRPr="001638F3" w:rsidRDefault="00B93613" w:rsidP="00B93613">
      <w:pPr>
        <w:pStyle w:val="BodyText"/>
        <w:spacing w:line="276" w:lineRule="auto"/>
        <w:jc w:val="both"/>
        <w:rPr>
          <w:rFonts w:ascii="Arial" w:hAnsi="Arial" w:cs="Arial"/>
          <w:szCs w:val="20"/>
        </w:rPr>
      </w:pPr>
      <w:r w:rsidRPr="001638F3">
        <w:rPr>
          <w:rFonts w:ascii="Arial" w:hAnsi="Arial" w:cs="Arial"/>
          <w:szCs w:val="20"/>
        </w:rPr>
        <w:t xml:space="preserve">Words not defined in this document which are given a meaning in the Corporations Act have the same meaning as in the Corporations Act.  </w:t>
      </w:r>
      <w:bookmarkStart w:id="7" w:name="_Ref294101515"/>
      <w:r w:rsidRPr="001638F3">
        <w:rPr>
          <w:rFonts w:ascii="Arial" w:hAnsi="Arial" w:cs="Arial"/>
          <w:szCs w:val="20"/>
          <w:lang w:val="en-US"/>
        </w:rPr>
        <w:t>If, the Constitution is inconsistent with this document, the Constitution prevails to the extent of the inconsistency.</w:t>
      </w:r>
      <w:bookmarkEnd w:id="7"/>
    </w:p>
    <w:p w14:paraId="16C61543" w14:textId="77777777" w:rsidR="00B93613" w:rsidRPr="001638F3" w:rsidRDefault="00B93613" w:rsidP="00B93613">
      <w:pPr>
        <w:pStyle w:val="LetterBodyText"/>
        <w:spacing w:line="276" w:lineRule="auto"/>
        <w:ind w:firstLine="709"/>
        <w:jc w:val="both"/>
        <w:rPr>
          <w:rFonts w:ascii="Arial" w:hAnsi="Arial" w:cs="Arial"/>
          <w:szCs w:val="20"/>
        </w:rPr>
      </w:pPr>
    </w:p>
    <w:p w14:paraId="08E7E1EB" w14:textId="74A85B58" w:rsidR="00AA3B4A" w:rsidRPr="001638F3" w:rsidRDefault="00AA3B4A" w:rsidP="00375AB7">
      <w:pPr>
        <w:pStyle w:val="LetterBodyText"/>
        <w:spacing w:line="276" w:lineRule="auto"/>
        <w:ind w:firstLine="709"/>
        <w:jc w:val="both"/>
        <w:rPr>
          <w:rFonts w:ascii="Arial" w:hAnsi="Arial" w:cs="Arial"/>
          <w:szCs w:val="20"/>
        </w:rPr>
      </w:pPr>
    </w:p>
    <w:p w14:paraId="4A30DD26" w14:textId="77777777" w:rsidR="00AA3B4A" w:rsidRPr="001638F3" w:rsidRDefault="00AA3B4A" w:rsidP="00375AB7">
      <w:pPr>
        <w:spacing w:line="276" w:lineRule="auto"/>
        <w:jc w:val="both"/>
        <w:rPr>
          <w:color w:val="FF0000"/>
          <w:szCs w:val="20"/>
        </w:rPr>
      </w:pPr>
    </w:p>
    <w:p w14:paraId="02AEBEB2" w14:textId="77777777" w:rsidR="00C55AF3" w:rsidRPr="001638F3" w:rsidRDefault="00C55AF3" w:rsidP="00375AB7">
      <w:pPr>
        <w:spacing w:line="276" w:lineRule="auto"/>
        <w:jc w:val="both"/>
        <w:rPr>
          <w:szCs w:val="20"/>
        </w:rPr>
      </w:pPr>
    </w:p>
    <w:sectPr w:rsidR="00C55AF3" w:rsidRPr="001638F3" w:rsidSect="008E7D84">
      <w:headerReference w:type="even" r:id="rId8"/>
      <w:headerReference w:type="default" r:id="rId9"/>
      <w:footerReference w:type="default" r:id="rId10"/>
      <w:headerReference w:type="first" r:id="rId11"/>
      <w:footerReference w:type="first" r:id="rId12"/>
      <w:pgSz w:w="11900" w:h="16840"/>
      <w:pgMar w:top="1985" w:right="1701" w:bottom="1134" w:left="1701" w:header="56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D35F8" w14:textId="77777777" w:rsidR="006A1E5F" w:rsidRDefault="006A1E5F" w:rsidP="006F1311">
      <w:r>
        <w:separator/>
      </w:r>
    </w:p>
    <w:p w14:paraId="18EC2EFB" w14:textId="77777777" w:rsidR="006A1E5F" w:rsidRDefault="006A1E5F"/>
  </w:endnote>
  <w:endnote w:type="continuationSeparator" w:id="0">
    <w:p w14:paraId="38F4ED90" w14:textId="77777777" w:rsidR="006A1E5F" w:rsidRDefault="006A1E5F" w:rsidP="006F1311">
      <w:r>
        <w:continuationSeparator/>
      </w:r>
    </w:p>
    <w:p w14:paraId="274A80DC" w14:textId="77777777" w:rsidR="006A1E5F" w:rsidRDefault="006A1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2D4318" w14:textId="779CFBF0" w:rsidR="00D911F4" w:rsidRPr="00690802" w:rsidRDefault="00D911F4" w:rsidP="00690802">
    <w:pPr>
      <w:pStyle w:val="AddressBlock"/>
      <w:tabs>
        <w:tab w:val="left" w:pos="1392"/>
      </w:tabs>
      <w:rPr>
        <w:color w:val="808080" w:themeColor="background1" w:themeShade="80"/>
      </w:rPr>
    </w:pPr>
    <w:r w:rsidRPr="00690802">
      <w:rPr>
        <w:color w:val="808080" w:themeColor="background1" w:themeShade="80"/>
      </w:rPr>
      <w:tab/>
    </w:r>
    <w:r w:rsidRPr="00690802">
      <w:rPr>
        <w:color w:val="808080" w:themeColor="background1" w:themeShade="80"/>
      </w:rPr>
      <w:tab/>
    </w:r>
    <w:r w:rsidRPr="00690802">
      <w:rPr>
        <w:color w:val="808080" w:themeColor="background1" w:themeShade="80"/>
      </w:rPr>
      <w:fldChar w:fldCharType="begin"/>
    </w:r>
    <w:r w:rsidRPr="00690802">
      <w:rPr>
        <w:color w:val="808080" w:themeColor="background1" w:themeShade="80"/>
      </w:rPr>
      <w:instrText xml:space="preserve"> PAGE </w:instrText>
    </w:r>
    <w:r w:rsidRPr="00690802">
      <w:rPr>
        <w:color w:val="808080" w:themeColor="background1" w:themeShade="80"/>
      </w:rPr>
      <w:fldChar w:fldCharType="separate"/>
    </w:r>
    <w:r w:rsidR="00F54DA7">
      <w:rPr>
        <w:noProof/>
        <w:color w:val="808080" w:themeColor="background1" w:themeShade="80"/>
      </w:rPr>
      <w:t>2</w:t>
    </w:r>
    <w:r w:rsidRPr="00690802">
      <w:rPr>
        <w:color w:val="808080" w:themeColor="background1" w:themeShade="80"/>
      </w:rPr>
      <w:fldChar w:fldCharType="end"/>
    </w:r>
    <w:r w:rsidRPr="00690802">
      <w:rPr>
        <w:color w:val="808080" w:themeColor="background1" w:themeShade="80"/>
      </w:rPr>
      <w:tab/>
    </w:r>
    <w:r w:rsidRPr="00690802">
      <w:rPr>
        <w:color w:val="808080" w:themeColor="background1" w:themeShade="80"/>
      </w:rPr>
      <w:fldChar w:fldCharType="begin"/>
    </w:r>
    <w:r w:rsidRPr="00690802">
      <w:rPr>
        <w:color w:val="808080" w:themeColor="background1" w:themeShade="80"/>
      </w:rPr>
      <w:instrText xml:space="preserve"> DATE </w:instrText>
    </w:r>
    <w:r w:rsidRPr="00690802">
      <w:rPr>
        <w:color w:val="808080" w:themeColor="background1" w:themeShade="80"/>
      </w:rPr>
      <w:fldChar w:fldCharType="separate"/>
    </w:r>
    <w:r w:rsidR="00F54DA7">
      <w:rPr>
        <w:noProof/>
        <w:color w:val="808080" w:themeColor="background1" w:themeShade="80"/>
      </w:rPr>
      <w:t>6/24/16</w:t>
    </w:r>
    <w:r w:rsidRPr="00690802">
      <w:rPr>
        <w:color w:val="808080" w:themeColor="background1" w:themeShade="80"/>
      </w:rPr>
      <w:fldChar w:fldCharType="end"/>
    </w:r>
  </w:p>
  <w:p w14:paraId="6B749999" w14:textId="77777777" w:rsidR="00D911F4" w:rsidRDefault="00D911F4"/>
  <w:p w14:paraId="5A36E491" w14:textId="77777777" w:rsidR="00D911F4" w:rsidRDefault="00D911F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42D996" w14:textId="77777777" w:rsidR="00D911F4" w:rsidRDefault="00D911F4" w:rsidP="00CF10FA">
    <w:pPr>
      <w:pStyle w:val="Footer"/>
      <w:tabs>
        <w:tab w:val="clear" w:pos="4320"/>
        <w:tab w:val="clear" w:pos="8640"/>
        <w:tab w:val="left" w:pos="1824"/>
      </w:tabs>
    </w:pPr>
  </w:p>
  <w:p w14:paraId="3D18CFCD" w14:textId="77777777" w:rsidR="00D911F4" w:rsidRDefault="00D911F4" w:rsidP="00CF10FA">
    <w:pPr>
      <w:pStyle w:val="Footer"/>
      <w:tabs>
        <w:tab w:val="clear" w:pos="4320"/>
        <w:tab w:val="clear" w:pos="8640"/>
        <w:tab w:val="left" w:pos="1824"/>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C2DE4" w14:textId="77777777" w:rsidR="006A1E5F" w:rsidRDefault="006A1E5F" w:rsidP="006F1311">
      <w:r>
        <w:separator/>
      </w:r>
    </w:p>
    <w:p w14:paraId="7B996A2D" w14:textId="77777777" w:rsidR="006A1E5F" w:rsidRDefault="006A1E5F"/>
  </w:footnote>
  <w:footnote w:type="continuationSeparator" w:id="0">
    <w:p w14:paraId="44EA6AF4" w14:textId="77777777" w:rsidR="006A1E5F" w:rsidRDefault="006A1E5F" w:rsidP="006F1311">
      <w:r>
        <w:continuationSeparator/>
      </w:r>
    </w:p>
    <w:p w14:paraId="7015D9AC" w14:textId="77777777" w:rsidR="006A1E5F" w:rsidRDefault="006A1E5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3CDE8A" w14:textId="738893FC" w:rsidR="00D911F4" w:rsidRDefault="006A1E5F">
    <w:pPr>
      <w:pStyle w:val="Header"/>
    </w:pPr>
    <w:r>
      <w:rPr>
        <w:noProof/>
      </w:rPr>
      <w:pict w14:anchorId="59A2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0" type="#_x0000_t75" style="position:absolute;margin-left:0;margin-top:0;width:595.15pt;height:841.85pt;z-index:-251632640;mso-wrap-edited:f;mso-position-horizontal:center;mso-position-horizontal-relative:margin;mso-position-vertical:center;mso-position-vertical-relative:margin" wrapcoords="-27 0 -27 21561 21600 21561 21600 0 -27 0">
          <v:imagedata r:id="rId1" o:title="superloop"/>
          <w10:wrap anchorx="margin" anchory="margin"/>
        </v:shape>
      </w:pict>
    </w:r>
    <w:r>
      <w:rPr>
        <w:noProof/>
      </w:rPr>
      <w:pict w14:anchorId="7CAFAEFC">
        <v:shape id="_x0000_s2087" type="#_x0000_t75" style="position:absolute;margin-left:0;margin-top:0;width:595.2pt;height:83.5pt;z-index:-251634688;mso-wrap-edited:f;mso-position-horizontal:center;mso-position-horizontal-relative:margin;mso-position-vertical:center;mso-position-vertical-relative:margin" wrapcoords="16131 11091 15968 11286 15615 13232 15615 14205 15642 17124 15669 17513 15968 19264 15995 19264 16458 19264 17383 19264 20484 17708 20484 13232 19940 12843 16322 11091 16131 11091">
          <v:imagedata r:id="rId2" o:title="Letterhead Follower"/>
          <w10:wrap anchorx="margin" anchory="margin"/>
        </v:shape>
      </w:pict>
    </w:r>
    <w:r>
      <w:rPr>
        <w:noProof/>
      </w:rPr>
      <w:pict w14:anchorId="7AD8F720">
        <v:shape id="_x0000_s2084" type="#_x0000_t75" style="position:absolute;margin-left:0;margin-top:0;width:424.35pt;height:59.5pt;z-index:-251637760;mso-wrap-edited:f;mso-position-horizontal:center;mso-position-horizontal-relative:margin;mso-position-vertical:center;mso-position-vertical-relative:margin" wrapcoords="15990 11210 15799 11756 15570 13944 15570 16405 15875 19139 15951 19139 16524 19139 18890 18865 20455 17498 20493 14217 20340 12850 16486 11210 15990 11210">
          <v:imagedata r:id="rId2" o:title="Letterhead Follower" gain="19661f" blacklevel="22938f"/>
          <w10:wrap anchorx="margin" anchory="margin"/>
        </v:shape>
      </w:pict>
    </w:r>
    <w:r>
      <w:rPr>
        <w:noProof/>
      </w:rPr>
      <w:pict w14:anchorId="7D32EA86">
        <v:shape id="_x0000_s2079" type="#_x0000_t75" style="position:absolute;margin-left:0;margin-top:0;width:623.95pt;height:804.4pt;z-index:-251642880;mso-wrap-edited:f;mso-position-horizontal:center;mso-position-horizontal-relative:margin;mso-position-vertical:center;mso-position-vertical-relative:margin" wrapcoords="15005 0 14875 40 14590 261 14590 342 14616 644 14616 684 14875 905 14927 905 15524 905 16823 905 19704 724 19678 221 19159 181 15447 0 15005 0">
          <v:imagedata r:id="rId3" o:title="Megaport Letterhead Logo"/>
          <w10:wrap anchorx="margin" anchory="margin"/>
        </v:shape>
      </w:pict>
    </w:r>
    <w:r>
      <w:rPr>
        <w:noProof/>
      </w:rPr>
      <w:pict w14:anchorId="255C0533">
        <v:shape id="_x0000_s2076" type="#_x0000_t75" style="position:absolute;margin-left:0;margin-top:0;width:623.95pt;height:804.4pt;z-index:-251645952;mso-wrap-edited:f;mso-position-horizontal:center;mso-position-horizontal-relative:margin;mso-position-vertical:center;mso-position-vertical-relative:margin" wrapcoords="15005 0 14875 40 14590 261 14590 342 14616 644 10825 946 10800 19647 -25 19848 -25 21559 21600 21559 21600 19848 10800 19647 10800 966 15109 946 19704 785 19678 221 19159 181 15447 0 15005 0">
          <v:imagedata r:id="rId4" o:title="Megaport Letterhead"/>
          <w10:wrap anchorx="margin" anchory="margin"/>
        </v:shape>
      </w:pict>
    </w:r>
    <w:r>
      <w:rPr>
        <w:noProof/>
      </w:rPr>
      <w:pict w14:anchorId="56404C5E">
        <v:shape id="_x0000_s2069" type="#_x0000_t75" style="position:absolute;margin-left:0;margin-top:0;width:612.45pt;height:858.65pt;z-index:-251650048;mso-wrap-edited:f;mso-position-horizontal:center;mso-position-horizontal-relative:margin;mso-position-vertical:center;mso-position-vertical-relative:margin" wrapcoords="20040 18902 19722 18921 18876 19128 18823 19204 18348 19506 18057 19807 17872 20109 17792 20411 17766 20713 1295 20713 1295 20939 17819 21015 17925 21317 18083 21562 18110 21562 21600 21562 21600 19109 20859 18921 20489 18902 20040 18902">
          <v:imagedata r:id="rId5" o:title="SubPartners Follower-02"/>
          <w10:wrap anchorx="margin" anchory="margin"/>
        </v:shape>
      </w:pict>
    </w:r>
    <w:r>
      <w:rPr>
        <w:noProof/>
      </w:rPr>
      <w:pict w14:anchorId="7BBE9FFD">
        <v:shape id="_x0000_s2066" type="#_x0000_t75" style="position:absolute;margin-left:0;margin-top:0;width:612.45pt;height:858.65pt;z-index:-251653120;mso-wrap-edited:f;mso-position-horizontal:center;mso-position-horizontal-relative:margin;mso-position-vertical:center;mso-position-vertical-relative:margin" wrapcoords="10654 1188 10522 1207 10178 1414 10125 1792 10363 2075 9332 2339 9306 2641 9544 2678 10310 2697 10310 2791 10628 2980 10786 2999 10786 20204 7931 20411 7931 21562 13694 21562 13694 20411 10786 20204 10786 2999 12399 2829 12399 2395 11262 2395 11368 2075 11606 1792 11553 1414 11236 1226 11077 1188 10654 1188">
          <v:imagedata r:id="rId6" o:title="SubPartners-01"/>
          <w10:wrap anchorx="margin" anchory="margin"/>
        </v:shape>
      </w:pict>
    </w:r>
    <w:r>
      <w:rPr>
        <w:noProof/>
      </w:rPr>
      <w:pict w14:anchorId="5B0CB80D">
        <v:shape id="_x0000_s2057" type="#_x0000_t75" style="position:absolute;margin-left:0;margin-top:0;width:612.45pt;height:858.65pt;z-index:-251655168;mso-wrap-edited:f;mso-position-horizontal:center;mso-position-horizontal-relative:margin;mso-position-vertical:center;mso-position-vertical-relative:margin" wrapcoords="10654 1188 10522 1207 10152 1414 10125 1565 10125 1792 10337 2075 9306 2339 9279 2641 9517 2678 10786 2697 10786 20204 7931 20411 7931 21562 13694 21562 13694 20411 10786 20204 10786 2697 12399 2678 12399 2395 11236 2395 11368 2075 11579 1811 11579 1565 11553 1414 11183 1207 11051 1188 10654 1188">
          <v:imagedata r:id="rId7" o:title="SubPartners-01"/>
          <w10:wrap anchorx="margin" anchory="margin"/>
        </v:shape>
      </w:pict>
    </w:r>
  </w:p>
  <w:p w14:paraId="5E79D937" w14:textId="77777777" w:rsidR="00D911F4" w:rsidRDefault="00D911F4"/>
  <w:p w14:paraId="6EE5CF8B" w14:textId="77777777" w:rsidR="00D911F4" w:rsidRDefault="00D911F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A1950C" w14:textId="42020968" w:rsidR="00D911F4" w:rsidRDefault="00D911F4" w:rsidP="00C55AF3">
    <w:pPr>
      <w:pStyle w:val="Header"/>
      <w:jc w:val="center"/>
    </w:pPr>
  </w:p>
  <w:p w14:paraId="65A88FAF" w14:textId="77777777" w:rsidR="00D911F4" w:rsidRDefault="00D911F4"/>
  <w:p w14:paraId="4A7367B3" w14:textId="77777777" w:rsidR="00D911F4" w:rsidRDefault="00D911F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BF0DEB" w14:textId="0265C037" w:rsidR="00D911F4" w:rsidRDefault="00D911F4" w:rsidP="008B5F4A">
    <w:pPr>
      <w:pStyle w:val="Header"/>
      <w:tabs>
        <w:tab w:val="clear" w:pos="4320"/>
        <w:tab w:val="clear" w:pos="8640"/>
        <w:tab w:val="left" w:pos="6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3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5E1170"/>
    <w:multiLevelType w:val="hybridMultilevel"/>
    <w:tmpl w:val="5B2AB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B36AF"/>
    <w:multiLevelType w:val="hybridMultilevel"/>
    <w:tmpl w:val="18A85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91B82"/>
    <w:multiLevelType w:val="hybridMultilevel"/>
    <w:tmpl w:val="31726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E44C4"/>
    <w:multiLevelType w:val="hybridMultilevel"/>
    <w:tmpl w:val="B8982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F4962"/>
    <w:multiLevelType w:val="multilevel"/>
    <w:tmpl w:val="73B086B4"/>
    <w:lvl w:ilvl="0">
      <w:start w:val="1"/>
      <w:numFmt w:val="lowerLetter"/>
      <w:lvlText w:val="(%1)"/>
      <w:lvlJc w:val="left"/>
      <w:pPr>
        <w:tabs>
          <w:tab w:val="num" w:pos="1418"/>
        </w:tabs>
        <w:ind w:left="1418"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1">
      <w:start w:val="1"/>
      <w:numFmt w:val="lowerRoman"/>
      <w:lvlText w:val="(%2)"/>
      <w:lvlJc w:val="left"/>
      <w:pPr>
        <w:tabs>
          <w:tab w:val="num" w:pos="1418"/>
        </w:tabs>
        <w:ind w:left="2126" w:hanging="708"/>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2">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3">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4">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5">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abstractNum>
  <w:abstractNum w:abstractNumId="6">
    <w:nsid w:val="0C152DF7"/>
    <w:multiLevelType w:val="multilevel"/>
    <w:tmpl w:val="D02CC6CC"/>
    <w:lvl w:ilvl="0">
      <w:start w:val="1"/>
      <w:numFmt w:val="decimal"/>
      <w:lvlText w:val="%1"/>
      <w:lvlJc w:val="left"/>
      <w:pPr>
        <w:tabs>
          <w:tab w:val="num" w:pos="709"/>
        </w:tabs>
        <w:ind w:left="709" w:hanging="709"/>
      </w:pPr>
      <w:rPr>
        <w:rFonts w:ascii="Tahoma" w:hAnsi="Tahoma" w:hint="default"/>
        <w:b/>
        <w:i w:val="0"/>
        <w:caps w:val="0"/>
        <w:strike w:val="0"/>
        <w:dstrike w:val="0"/>
        <w:outline w:val="0"/>
        <w:shadow w:val="0"/>
        <w:emboss w:val="0"/>
        <w:imprint w:val="0"/>
        <w:vanish w:val="0"/>
        <w:color w:val="auto"/>
        <w:sz w:val="24"/>
        <w:u w:val="none"/>
        <w:effect w:val="none"/>
        <w:vertAlign w:val="baseline"/>
      </w:rPr>
    </w:lvl>
    <w:lvl w:ilvl="1">
      <w:start w:val="1"/>
      <w:numFmt w:val="decimal"/>
      <w:lvlText w:val="%1.%2"/>
      <w:lvlJc w:val="left"/>
      <w:pPr>
        <w:tabs>
          <w:tab w:val="num" w:pos="709"/>
        </w:tabs>
        <w:ind w:left="709" w:hanging="709"/>
      </w:pPr>
      <w:rPr>
        <w:rFonts w:ascii="Tahoma" w:hAnsi="Tahoma" w:hint="default"/>
        <w:b/>
        <w:i w:val="0"/>
        <w:caps w:val="0"/>
        <w:strike w:val="0"/>
        <w:dstrike w:val="0"/>
        <w:outline w:val="0"/>
        <w:shadow w:val="0"/>
        <w:emboss w:val="0"/>
        <w:imprint w:val="0"/>
        <w:vanish w:val="0"/>
        <w:color w:val="auto"/>
        <w:sz w:val="20"/>
        <w:u w:val="none"/>
        <w:effect w:val="none"/>
        <w:vertAlign w:val="baseline"/>
      </w:rPr>
    </w:lvl>
    <w:lvl w:ilvl="2">
      <w:start w:val="1"/>
      <w:numFmt w:val="lowerLetter"/>
      <w:lvlText w:val="(%3)"/>
      <w:lvlJc w:val="left"/>
      <w:pPr>
        <w:tabs>
          <w:tab w:val="num" w:pos="1417"/>
        </w:tabs>
        <w:ind w:left="1417" w:hanging="708"/>
      </w:pPr>
      <w:rPr>
        <w:rFonts w:ascii="Tahoma" w:hAnsi="Tahoma" w:hint="default"/>
        <w:b w:val="0"/>
        <w:i w:val="0"/>
        <w:caps w:val="0"/>
        <w:strike w:val="0"/>
        <w:dstrike w:val="0"/>
        <w:outline w:val="0"/>
        <w:shadow w:val="0"/>
        <w:emboss w:val="0"/>
        <w:imprint w:val="0"/>
        <w:vanish w:val="0"/>
        <w:color w:val="auto"/>
        <w:sz w:val="20"/>
        <w:u w:val="none"/>
        <w:effect w:val="none"/>
        <w:vertAlign w:val="baseline"/>
      </w:rPr>
    </w:lvl>
    <w:lvl w:ilvl="3">
      <w:start w:val="1"/>
      <w:numFmt w:val="lowerRoman"/>
      <w:lvlText w:val="(%4)"/>
      <w:lvlJc w:val="left"/>
      <w:pPr>
        <w:tabs>
          <w:tab w:val="num" w:pos="2126"/>
        </w:tabs>
        <w:ind w:left="2126" w:hanging="709"/>
      </w:pPr>
      <w:rPr>
        <w:rFonts w:ascii="Tahoma" w:hAnsi="Tahoma" w:hint="default"/>
        <w:b w:val="0"/>
        <w:i w:val="0"/>
        <w:caps w:val="0"/>
        <w:strike w:val="0"/>
        <w:dstrike w:val="0"/>
        <w:outline w:val="0"/>
        <w:shadow w:val="0"/>
        <w:emboss w:val="0"/>
        <w:imprint w:val="0"/>
        <w:vanish w:val="0"/>
        <w:color w:val="auto"/>
        <w:sz w:val="20"/>
        <w:u w:val="none"/>
        <w:effect w:val="none"/>
        <w:vertAlign w:val="baseline"/>
      </w:rPr>
    </w:lvl>
    <w:lvl w:ilvl="4">
      <w:start w:val="1"/>
      <w:numFmt w:val="upperLetter"/>
      <w:lvlText w:val="(%5)"/>
      <w:lvlJc w:val="left"/>
      <w:pPr>
        <w:tabs>
          <w:tab w:val="num" w:pos="2835"/>
        </w:tabs>
        <w:ind w:left="2835" w:hanging="709"/>
      </w:pPr>
      <w:rPr>
        <w:rFonts w:ascii="Tahoma" w:hAnsi="Tahoma" w:hint="default"/>
        <w:b w:val="0"/>
        <w:i w:val="0"/>
        <w:caps w:val="0"/>
        <w:strike w:val="0"/>
        <w:dstrike w:val="0"/>
        <w:outline w:val="0"/>
        <w:shadow w:val="0"/>
        <w:emboss w:val="0"/>
        <w:imprint w:val="0"/>
        <w:vanish w:val="0"/>
        <w:color w:val="auto"/>
        <w:sz w:val="20"/>
        <w:u w:val="none"/>
        <w:effect w:val="none"/>
        <w:vertAlign w:val="baseline"/>
      </w:rPr>
    </w:lvl>
    <w:lvl w:ilvl="5">
      <w:start w:val="1"/>
      <w:numFmt w:val="upperRoman"/>
      <w:lvlText w:val="(%6)"/>
      <w:lvlJc w:val="left"/>
      <w:pPr>
        <w:tabs>
          <w:tab w:val="num" w:pos="3543"/>
        </w:tabs>
        <w:ind w:left="3543" w:hanging="708"/>
      </w:pPr>
      <w:rPr>
        <w:rFonts w:ascii="Tahoma" w:hAnsi="Tahoma" w:hint="default"/>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tabs>
          <w:tab w:val="num" w:pos="3543"/>
        </w:tabs>
        <w:ind w:left="3543" w:hanging="708"/>
      </w:pPr>
      <w:rPr>
        <w:rFonts w:ascii="Tahoma" w:hAnsi="Tahoma" w:hint="default"/>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tabs>
          <w:tab w:val="num" w:pos="3543"/>
        </w:tabs>
        <w:ind w:left="3543" w:hanging="708"/>
      </w:pPr>
      <w:rPr>
        <w:rFonts w:ascii="Tahoma" w:hAnsi="Tahoma" w:hint="default"/>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left"/>
      <w:pPr>
        <w:tabs>
          <w:tab w:val="num" w:pos="3543"/>
        </w:tabs>
        <w:ind w:left="3543" w:hanging="708"/>
      </w:pPr>
      <w:rPr>
        <w:rFonts w:ascii="Tahoma" w:hAnsi="Tahoma" w:hint="default"/>
        <w:b w:val="0"/>
        <w:i w:val="0"/>
        <w:caps w:val="0"/>
        <w:strike w:val="0"/>
        <w:dstrike w:val="0"/>
        <w:outline w:val="0"/>
        <w:shadow w:val="0"/>
        <w:emboss w:val="0"/>
        <w:imprint w:val="0"/>
        <w:vanish w:val="0"/>
        <w:color w:val="auto"/>
        <w:sz w:val="20"/>
        <w:u w:val="none"/>
        <w:effect w:val="none"/>
        <w:vertAlign w:val="baseline"/>
      </w:rPr>
    </w:lvl>
  </w:abstractNum>
  <w:abstractNum w:abstractNumId="7">
    <w:nsid w:val="10C213FD"/>
    <w:multiLevelType w:val="hybridMultilevel"/>
    <w:tmpl w:val="1EE6A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5263E9"/>
    <w:multiLevelType w:val="hybridMultilevel"/>
    <w:tmpl w:val="A364C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33200F"/>
    <w:multiLevelType w:val="hybridMultilevel"/>
    <w:tmpl w:val="415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C3C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AD0E44"/>
    <w:multiLevelType w:val="hybridMultilevel"/>
    <w:tmpl w:val="FD24FD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06E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187584"/>
    <w:multiLevelType w:val="hybridMultilevel"/>
    <w:tmpl w:val="3774E79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nsid w:val="253E6DFD"/>
    <w:multiLevelType w:val="hybridMultilevel"/>
    <w:tmpl w:val="7E9EE2C4"/>
    <w:lvl w:ilvl="0" w:tplc="9404D75C">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F7334"/>
    <w:multiLevelType w:val="hybridMultilevel"/>
    <w:tmpl w:val="A9F0CD90"/>
    <w:lvl w:ilvl="0" w:tplc="10D6427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0956A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2AF93E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B046B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F2F6C0D"/>
    <w:multiLevelType w:val="hybridMultilevel"/>
    <w:tmpl w:val="1A98B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A2115"/>
    <w:multiLevelType w:val="multilevel"/>
    <w:tmpl w:val="0C70730C"/>
    <w:lvl w:ilvl="0">
      <w:start w:val="1"/>
      <w:numFmt w:val="decimal"/>
      <w:lvlText w:val="%1."/>
      <w:lvlJc w:val="left"/>
      <w:pPr>
        <w:ind w:left="685" w:hanging="567"/>
        <w:jc w:val="left"/>
      </w:pPr>
      <w:rPr>
        <w:rFonts w:ascii="Arial" w:eastAsia="Arial" w:hAnsi="Arial" w:hint="default"/>
        <w:b/>
        <w:bCs/>
        <w:sz w:val="24"/>
        <w:szCs w:val="24"/>
      </w:rPr>
    </w:lvl>
    <w:lvl w:ilvl="1">
      <w:start w:val="1"/>
      <w:numFmt w:val="decimal"/>
      <w:lvlText w:val="%1.%2"/>
      <w:lvlJc w:val="left"/>
      <w:pPr>
        <w:ind w:left="685" w:hanging="567"/>
        <w:jc w:val="left"/>
      </w:pPr>
      <w:rPr>
        <w:rFonts w:ascii="Arial" w:eastAsia="Arial" w:hAnsi="Arial" w:hint="default"/>
        <w:b/>
        <w:bCs/>
        <w:sz w:val="22"/>
        <w:szCs w:val="22"/>
      </w:rPr>
    </w:lvl>
    <w:lvl w:ilvl="2">
      <w:start w:val="1"/>
      <w:numFmt w:val="bullet"/>
      <w:lvlText w:val=""/>
      <w:lvlJc w:val="left"/>
      <w:pPr>
        <w:ind w:left="1112" w:hanging="428"/>
      </w:pPr>
      <w:rPr>
        <w:rFonts w:ascii="Symbol" w:eastAsia="Symbol" w:hAnsi="Symbol" w:hint="default"/>
        <w:w w:val="46"/>
        <w:sz w:val="22"/>
        <w:szCs w:val="22"/>
      </w:rPr>
    </w:lvl>
    <w:lvl w:ilvl="3">
      <w:start w:val="1"/>
      <w:numFmt w:val="bullet"/>
      <w:lvlText w:val="o"/>
      <w:lvlJc w:val="left"/>
      <w:pPr>
        <w:ind w:left="1395" w:hanging="284"/>
      </w:pPr>
      <w:rPr>
        <w:rFonts w:ascii="Courier New" w:eastAsia="Courier New" w:hAnsi="Courier New" w:hint="default"/>
        <w:sz w:val="22"/>
        <w:szCs w:val="22"/>
      </w:rPr>
    </w:lvl>
    <w:lvl w:ilvl="4">
      <w:start w:val="1"/>
      <w:numFmt w:val="bullet"/>
      <w:lvlText w:val="•"/>
      <w:lvlJc w:val="left"/>
      <w:pPr>
        <w:ind w:left="3443" w:hanging="284"/>
      </w:pPr>
      <w:rPr>
        <w:rFonts w:hint="default"/>
      </w:rPr>
    </w:lvl>
    <w:lvl w:ilvl="5">
      <w:start w:val="1"/>
      <w:numFmt w:val="bullet"/>
      <w:lvlText w:val="•"/>
      <w:lvlJc w:val="left"/>
      <w:pPr>
        <w:ind w:left="4467" w:hanging="284"/>
      </w:pPr>
      <w:rPr>
        <w:rFonts w:hint="default"/>
      </w:rPr>
    </w:lvl>
    <w:lvl w:ilvl="6">
      <w:start w:val="1"/>
      <w:numFmt w:val="bullet"/>
      <w:lvlText w:val="•"/>
      <w:lvlJc w:val="left"/>
      <w:pPr>
        <w:ind w:left="5491" w:hanging="284"/>
      </w:pPr>
      <w:rPr>
        <w:rFonts w:hint="default"/>
      </w:rPr>
    </w:lvl>
    <w:lvl w:ilvl="7">
      <w:start w:val="1"/>
      <w:numFmt w:val="bullet"/>
      <w:lvlText w:val="•"/>
      <w:lvlJc w:val="left"/>
      <w:pPr>
        <w:ind w:left="6514" w:hanging="284"/>
      </w:pPr>
      <w:rPr>
        <w:rFonts w:hint="default"/>
      </w:rPr>
    </w:lvl>
    <w:lvl w:ilvl="8">
      <w:start w:val="1"/>
      <w:numFmt w:val="bullet"/>
      <w:lvlText w:val="•"/>
      <w:lvlJc w:val="left"/>
      <w:pPr>
        <w:ind w:left="7538" w:hanging="284"/>
      </w:pPr>
      <w:rPr>
        <w:rFonts w:hint="default"/>
      </w:rPr>
    </w:lvl>
  </w:abstractNum>
  <w:abstractNum w:abstractNumId="21">
    <w:nsid w:val="3A6B4F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B3E7EE3"/>
    <w:multiLevelType w:val="hybridMultilevel"/>
    <w:tmpl w:val="60BE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8419B"/>
    <w:multiLevelType w:val="multilevel"/>
    <w:tmpl w:val="AD205300"/>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nsid w:val="44F065E5"/>
    <w:multiLevelType w:val="hybridMultilevel"/>
    <w:tmpl w:val="AD205300"/>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233603"/>
    <w:multiLevelType w:val="hybridMultilevel"/>
    <w:tmpl w:val="AC48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441B2"/>
    <w:multiLevelType w:val="hybridMultilevel"/>
    <w:tmpl w:val="DFC88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44FC3"/>
    <w:multiLevelType w:val="hybridMultilevel"/>
    <w:tmpl w:val="72BC26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C65E6"/>
    <w:multiLevelType w:val="hybridMultilevel"/>
    <w:tmpl w:val="DB560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EB5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C946FA7"/>
    <w:multiLevelType w:val="multilevel"/>
    <w:tmpl w:val="AB1262B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nsid w:val="5F3C58F9"/>
    <w:multiLevelType w:val="multilevel"/>
    <w:tmpl w:val="73B086B4"/>
    <w:lvl w:ilvl="0">
      <w:start w:val="1"/>
      <w:numFmt w:val="lowerLetter"/>
      <w:lvlText w:val="(%1)"/>
      <w:lvlJc w:val="left"/>
      <w:pPr>
        <w:tabs>
          <w:tab w:val="num" w:pos="1418"/>
        </w:tabs>
        <w:ind w:left="1418"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1">
      <w:start w:val="1"/>
      <w:numFmt w:val="lowerRoman"/>
      <w:lvlText w:val="(%2)"/>
      <w:lvlJc w:val="left"/>
      <w:pPr>
        <w:tabs>
          <w:tab w:val="num" w:pos="1418"/>
        </w:tabs>
        <w:ind w:left="2126" w:hanging="708"/>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2">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3">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4">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5">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abstractNum>
  <w:abstractNum w:abstractNumId="32">
    <w:nsid w:val="610F4F03"/>
    <w:multiLevelType w:val="hybridMultilevel"/>
    <w:tmpl w:val="B60449F6"/>
    <w:lvl w:ilvl="0" w:tplc="459CF4C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800224"/>
    <w:multiLevelType w:val="hybridMultilevel"/>
    <w:tmpl w:val="8A44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25E9A"/>
    <w:multiLevelType w:val="hybridMultilevel"/>
    <w:tmpl w:val="EEB08E0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D03A2B"/>
    <w:multiLevelType w:val="hybridMultilevel"/>
    <w:tmpl w:val="A042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9D013E"/>
    <w:multiLevelType w:val="hybridMultilevel"/>
    <w:tmpl w:val="9AE0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A5612"/>
    <w:multiLevelType w:val="multilevel"/>
    <w:tmpl w:val="73B086B4"/>
    <w:lvl w:ilvl="0">
      <w:start w:val="1"/>
      <w:numFmt w:val="lowerLetter"/>
      <w:lvlText w:val="(%1)"/>
      <w:lvlJc w:val="left"/>
      <w:pPr>
        <w:tabs>
          <w:tab w:val="num" w:pos="1418"/>
        </w:tabs>
        <w:ind w:left="1418"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1">
      <w:start w:val="1"/>
      <w:numFmt w:val="lowerRoman"/>
      <w:lvlText w:val="(%2)"/>
      <w:lvlJc w:val="left"/>
      <w:pPr>
        <w:tabs>
          <w:tab w:val="num" w:pos="1418"/>
        </w:tabs>
        <w:ind w:left="2126" w:hanging="708"/>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2">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3">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4">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5">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abstractNum>
  <w:abstractNum w:abstractNumId="38">
    <w:nsid w:val="6E8F22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0856D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1603955"/>
    <w:multiLevelType w:val="hybridMultilevel"/>
    <w:tmpl w:val="6FC8E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7ABC1422">
      <w:start w:val="1"/>
      <w:numFmt w:val="bullet"/>
      <w:lvlText w:val=""/>
      <w:lvlJc w:val="left"/>
      <w:pPr>
        <w:ind w:left="927" w:hanging="360"/>
      </w:pPr>
      <w:rPr>
        <w:rFonts w:ascii="Wingdings" w:hAnsi="Wingding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532CE1"/>
    <w:multiLevelType w:val="hybridMultilevel"/>
    <w:tmpl w:val="D18EC74E"/>
    <w:lvl w:ilvl="0" w:tplc="10D6427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421F99"/>
    <w:multiLevelType w:val="hybridMultilevel"/>
    <w:tmpl w:val="B15ED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1D52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8E82F59"/>
    <w:multiLevelType w:val="multilevel"/>
    <w:tmpl w:val="667C37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9D060AF"/>
    <w:multiLevelType w:val="hybridMultilevel"/>
    <w:tmpl w:val="AB126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B3579D"/>
    <w:multiLevelType w:val="multilevel"/>
    <w:tmpl w:val="A364CF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35"/>
  </w:num>
  <w:num w:numId="2">
    <w:abstractNumId w:val="40"/>
  </w:num>
  <w:num w:numId="3">
    <w:abstractNumId w:val="6"/>
  </w:num>
  <w:num w:numId="4">
    <w:abstractNumId w:val="5"/>
  </w:num>
  <w:num w:numId="5">
    <w:abstractNumId w:val="37"/>
  </w:num>
  <w:num w:numId="6">
    <w:abstractNumId w:val="3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9"/>
  </w:num>
  <w:num w:numId="10">
    <w:abstractNumId w:val="39"/>
  </w:num>
  <w:num w:numId="11">
    <w:abstractNumId w:val="38"/>
  </w:num>
  <w:num w:numId="12">
    <w:abstractNumId w:val="18"/>
  </w:num>
  <w:num w:numId="13">
    <w:abstractNumId w:val="17"/>
  </w:num>
  <w:num w:numId="14">
    <w:abstractNumId w:val="0"/>
  </w:num>
  <w:num w:numId="15">
    <w:abstractNumId w:val="43"/>
  </w:num>
  <w:num w:numId="16">
    <w:abstractNumId w:val="12"/>
  </w:num>
  <w:num w:numId="17">
    <w:abstractNumId w:val="21"/>
  </w:num>
  <w:num w:numId="18">
    <w:abstractNumId w:val="10"/>
  </w:num>
  <w:num w:numId="19">
    <w:abstractNumId w:val="16"/>
  </w:num>
  <w:num w:numId="20">
    <w:abstractNumId w:val="19"/>
  </w:num>
  <w:num w:numId="21">
    <w:abstractNumId w:val="9"/>
  </w:num>
  <w:num w:numId="22">
    <w:abstractNumId w:val="25"/>
  </w:num>
  <w:num w:numId="23">
    <w:abstractNumId w:val="36"/>
  </w:num>
  <w:num w:numId="24">
    <w:abstractNumId w:val="7"/>
  </w:num>
  <w:num w:numId="25">
    <w:abstractNumId w:val="1"/>
  </w:num>
  <w:num w:numId="26">
    <w:abstractNumId w:val="4"/>
  </w:num>
  <w:num w:numId="27">
    <w:abstractNumId w:val="26"/>
  </w:num>
  <w:num w:numId="28">
    <w:abstractNumId w:val="22"/>
  </w:num>
  <w:num w:numId="29">
    <w:abstractNumId w:val="13"/>
  </w:num>
  <w:num w:numId="30">
    <w:abstractNumId w:val="33"/>
  </w:num>
  <w:num w:numId="31">
    <w:abstractNumId w:val="28"/>
  </w:num>
  <w:num w:numId="32">
    <w:abstractNumId w:val="8"/>
  </w:num>
  <w:num w:numId="33">
    <w:abstractNumId w:val="20"/>
  </w:num>
  <w:num w:numId="34">
    <w:abstractNumId w:val="2"/>
  </w:num>
  <w:num w:numId="35">
    <w:abstractNumId w:val="11"/>
  </w:num>
  <w:num w:numId="36">
    <w:abstractNumId w:val="34"/>
  </w:num>
  <w:num w:numId="37">
    <w:abstractNumId w:val="27"/>
  </w:num>
  <w:num w:numId="38">
    <w:abstractNumId w:val="42"/>
  </w:num>
  <w:num w:numId="39">
    <w:abstractNumId w:val="3"/>
  </w:num>
  <w:num w:numId="40">
    <w:abstractNumId w:val="45"/>
  </w:num>
  <w:num w:numId="41">
    <w:abstractNumId w:val="30"/>
  </w:num>
  <w:num w:numId="42">
    <w:abstractNumId w:val="15"/>
  </w:num>
  <w:num w:numId="43">
    <w:abstractNumId w:val="46"/>
  </w:num>
  <w:num w:numId="44">
    <w:abstractNumId w:val="32"/>
  </w:num>
  <w:num w:numId="45">
    <w:abstractNumId w:val="41"/>
  </w:num>
  <w:num w:numId="46">
    <w:abstractNumId w:val="24"/>
  </w:num>
  <w:num w:numId="47">
    <w:abstractNumId w:val="2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hdrShapeDefaults>
    <o:shapedefaults v:ext="edit" spidmax="209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DF"/>
    <w:rsid w:val="00017880"/>
    <w:rsid w:val="00026E43"/>
    <w:rsid w:val="000429E6"/>
    <w:rsid w:val="000533D5"/>
    <w:rsid w:val="000B6CD6"/>
    <w:rsid w:val="000D0DE4"/>
    <w:rsid w:val="000E0B2D"/>
    <w:rsid w:val="001638F3"/>
    <w:rsid w:val="001B6F2E"/>
    <w:rsid w:val="001E2A02"/>
    <w:rsid w:val="001F7C8A"/>
    <w:rsid w:val="00201324"/>
    <w:rsid w:val="00215D7F"/>
    <w:rsid w:val="002C73D6"/>
    <w:rsid w:val="002D17B0"/>
    <w:rsid w:val="00375AB7"/>
    <w:rsid w:val="00375DD4"/>
    <w:rsid w:val="0038773A"/>
    <w:rsid w:val="00393E01"/>
    <w:rsid w:val="003A6E7B"/>
    <w:rsid w:val="00427602"/>
    <w:rsid w:val="004666DF"/>
    <w:rsid w:val="004B1F91"/>
    <w:rsid w:val="004E35D7"/>
    <w:rsid w:val="004F0FF0"/>
    <w:rsid w:val="005031DB"/>
    <w:rsid w:val="00543237"/>
    <w:rsid w:val="00556F5F"/>
    <w:rsid w:val="00585092"/>
    <w:rsid w:val="005C1AB2"/>
    <w:rsid w:val="00611928"/>
    <w:rsid w:val="006154A7"/>
    <w:rsid w:val="00690802"/>
    <w:rsid w:val="006A13DD"/>
    <w:rsid w:val="006A1E5F"/>
    <w:rsid w:val="006C70F0"/>
    <w:rsid w:val="006D0EB3"/>
    <w:rsid w:val="006D2743"/>
    <w:rsid w:val="006F1311"/>
    <w:rsid w:val="007229E8"/>
    <w:rsid w:val="00725252"/>
    <w:rsid w:val="00762FF9"/>
    <w:rsid w:val="007C0459"/>
    <w:rsid w:val="007E4B17"/>
    <w:rsid w:val="008042AD"/>
    <w:rsid w:val="00821120"/>
    <w:rsid w:val="00824118"/>
    <w:rsid w:val="00826E4D"/>
    <w:rsid w:val="008B5F4A"/>
    <w:rsid w:val="008C357E"/>
    <w:rsid w:val="008D1E49"/>
    <w:rsid w:val="008E7D84"/>
    <w:rsid w:val="00912B43"/>
    <w:rsid w:val="00927EB1"/>
    <w:rsid w:val="00941D34"/>
    <w:rsid w:val="009523A0"/>
    <w:rsid w:val="00962F09"/>
    <w:rsid w:val="00967715"/>
    <w:rsid w:val="009B56A3"/>
    <w:rsid w:val="009D2F64"/>
    <w:rsid w:val="00A67062"/>
    <w:rsid w:val="00A75A48"/>
    <w:rsid w:val="00A8279E"/>
    <w:rsid w:val="00AA3B4A"/>
    <w:rsid w:val="00AA3CBD"/>
    <w:rsid w:val="00B442B7"/>
    <w:rsid w:val="00B6447E"/>
    <w:rsid w:val="00B90D75"/>
    <w:rsid w:val="00B93613"/>
    <w:rsid w:val="00C1640C"/>
    <w:rsid w:val="00C168DB"/>
    <w:rsid w:val="00C41D09"/>
    <w:rsid w:val="00C55AF3"/>
    <w:rsid w:val="00CE2873"/>
    <w:rsid w:val="00CF10FA"/>
    <w:rsid w:val="00D61FF1"/>
    <w:rsid w:val="00D911F4"/>
    <w:rsid w:val="00DC4024"/>
    <w:rsid w:val="00DC47A2"/>
    <w:rsid w:val="00DD32AE"/>
    <w:rsid w:val="00E2424D"/>
    <w:rsid w:val="00E24DED"/>
    <w:rsid w:val="00E33E93"/>
    <w:rsid w:val="00E445B4"/>
    <w:rsid w:val="00E46354"/>
    <w:rsid w:val="00E948B1"/>
    <w:rsid w:val="00ED7987"/>
    <w:rsid w:val="00F54DA7"/>
    <w:rsid w:val="00F606A5"/>
    <w:rsid w:val="00F74262"/>
    <w:rsid w:val="00F76BDE"/>
    <w:rsid w:val="00F861B6"/>
    <w:rsid w:val="00FA7243"/>
    <w:rsid w:val="00FF0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1"/>
    <o:shapelayout v:ext="edit">
      <o:idmap v:ext="edit" data="1"/>
    </o:shapelayout>
  </w:shapeDefaults>
  <w:decimalSymbol w:val="."/>
  <w:listSeparator w:val=","/>
  <w14:docId w14:val="447B72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4A"/>
    <w:pPr>
      <w:widowControl w:val="0"/>
      <w:autoSpaceDE w:val="0"/>
      <w:autoSpaceDN w:val="0"/>
      <w:adjustRightInd w:val="0"/>
      <w:spacing w:after="280" w:line="336" w:lineRule="auto"/>
    </w:pPr>
    <w:rPr>
      <w:rFonts w:ascii="Arial" w:hAnsi="Arial" w:cs="Arial"/>
      <w:sz w:val="20"/>
      <w:szCs w:val="18"/>
    </w:rPr>
  </w:style>
  <w:style w:type="paragraph" w:styleId="Heading1">
    <w:name w:val="heading 1"/>
    <w:basedOn w:val="Normal"/>
    <w:next w:val="Normal"/>
    <w:link w:val="Heading1Char"/>
    <w:qFormat/>
    <w:rsid w:val="00CF10FA"/>
    <w:pPr>
      <w:spacing w:after="100" w:line="240" w:lineRule="auto"/>
      <w:outlineLvl w:val="0"/>
    </w:pPr>
    <w:rPr>
      <w:color w:val="CD0920"/>
      <w:sz w:val="48"/>
      <w:szCs w:val="48"/>
    </w:rPr>
  </w:style>
  <w:style w:type="paragraph" w:styleId="Heading2">
    <w:name w:val="heading 2"/>
    <w:basedOn w:val="Heading1"/>
    <w:next w:val="Normal"/>
    <w:link w:val="Heading2Char"/>
    <w:unhideWhenUsed/>
    <w:qFormat/>
    <w:rsid w:val="00AA3B4A"/>
    <w:pPr>
      <w:outlineLvl w:val="1"/>
    </w:pPr>
    <w:rPr>
      <w:sz w:val="28"/>
      <w:szCs w:val="36"/>
    </w:rPr>
  </w:style>
  <w:style w:type="paragraph" w:styleId="Heading3">
    <w:name w:val="heading 3"/>
    <w:basedOn w:val="Heading2"/>
    <w:next w:val="Normal"/>
    <w:link w:val="Heading3Char"/>
    <w:unhideWhenUsed/>
    <w:qFormat/>
    <w:rsid w:val="006F1311"/>
    <w:pPr>
      <w:outlineLvl w:val="2"/>
    </w:pPr>
    <w:rPr>
      <w:szCs w:val="28"/>
    </w:rPr>
  </w:style>
  <w:style w:type="paragraph" w:styleId="Heading4">
    <w:name w:val="heading 4"/>
    <w:basedOn w:val="Normal"/>
    <w:next w:val="Normal"/>
    <w:link w:val="Heading4Char"/>
    <w:unhideWhenUsed/>
    <w:qFormat/>
    <w:rsid w:val="00AA3B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A3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qFormat/>
    <w:rsid w:val="00AA3B4A"/>
    <w:pPr>
      <w:widowControl/>
      <w:tabs>
        <w:tab w:val="num" w:pos="3543"/>
      </w:tabs>
      <w:autoSpaceDE/>
      <w:autoSpaceDN/>
      <w:adjustRightInd/>
      <w:spacing w:before="240" w:after="0" w:line="240" w:lineRule="auto"/>
      <w:ind w:left="3543" w:hanging="708"/>
      <w:outlineLvl w:val="5"/>
    </w:pPr>
    <w:rPr>
      <w:rFonts w:ascii="Tahoma" w:eastAsia="Times New Roman" w:hAnsi="Tahoma" w:cs="Times New Roman"/>
      <w:bCs/>
      <w:szCs w:val="22"/>
      <w:lang w:val="en-AU"/>
    </w:rPr>
  </w:style>
  <w:style w:type="paragraph" w:styleId="Heading7">
    <w:name w:val="heading 7"/>
    <w:basedOn w:val="Normal"/>
    <w:link w:val="Heading7Char"/>
    <w:qFormat/>
    <w:rsid w:val="00AA3B4A"/>
    <w:pPr>
      <w:widowControl/>
      <w:tabs>
        <w:tab w:val="num" w:pos="3543"/>
      </w:tabs>
      <w:autoSpaceDE/>
      <w:autoSpaceDN/>
      <w:adjustRightInd/>
      <w:spacing w:before="240" w:after="0" w:line="240" w:lineRule="auto"/>
      <w:ind w:left="3543" w:hanging="708"/>
      <w:outlineLvl w:val="6"/>
    </w:pPr>
    <w:rPr>
      <w:rFonts w:ascii="Tahoma" w:eastAsia="Times New Roman" w:hAnsi="Tahoma" w:cs="Times New Roman"/>
      <w:szCs w:val="24"/>
      <w:lang w:val="en-AU"/>
    </w:rPr>
  </w:style>
  <w:style w:type="paragraph" w:styleId="Heading8">
    <w:name w:val="heading 8"/>
    <w:basedOn w:val="Normal"/>
    <w:link w:val="Heading8Char"/>
    <w:qFormat/>
    <w:rsid w:val="00AA3B4A"/>
    <w:pPr>
      <w:widowControl/>
      <w:tabs>
        <w:tab w:val="num" w:pos="3543"/>
      </w:tabs>
      <w:autoSpaceDE/>
      <w:autoSpaceDN/>
      <w:adjustRightInd/>
      <w:spacing w:before="240" w:after="0" w:line="240" w:lineRule="auto"/>
      <w:ind w:left="3543" w:hanging="708"/>
      <w:outlineLvl w:val="7"/>
    </w:pPr>
    <w:rPr>
      <w:rFonts w:ascii="Tahoma" w:eastAsia="Times New Roman" w:hAnsi="Tahoma" w:cs="Times New Roman"/>
      <w:iCs/>
      <w:szCs w:val="24"/>
      <w:lang w:val="en-AU"/>
    </w:rPr>
  </w:style>
  <w:style w:type="paragraph" w:styleId="Heading9">
    <w:name w:val="heading 9"/>
    <w:basedOn w:val="Normal"/>
    <w:link w:val="Heading9Char"/>
    <w:qFormat/>
    <w:rsid w:val="00AA3B4A"/>
    <w:pPr>
      <w:widowControl/>
      <w:tabs>
        <w:tab w:val="num" w:pos="3543"/>
      </w:tabs>
      <w:autoSpaceDE/>
      <w:autoSpaceDN/>
      <w:adjustRightInd/>
      <w:spacing w:before="240" w:after="0" w:line="240" w:lineRule="auto"/>
      <w:ind w:left="3543" w:hanging="708"/>
      <w:outlineLvl w:val="8"/>
    </w:pPr>
    <w:rPr>
      <w:rFonts w:ascii="Tahoma" w:eastAsia="Times New Roman" w:hAnsi="Tahoma"/>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DE4"/>
    <w:rPr>
      <w:rFonts w:ascii="Lucida Grande" w:hAnsi="Lucida Grande" w:cs="Lucida Grande"/>
    </w:rPr>
  </w:style>
  <w:style w:type="character" w:customStyle="1" w:styleId="BalloonTextChar">
    <w:name w:val="Balloon Text Char"/>
    <w:basedOn w:val="DefaultParagraphFont"/>
    <w:link w:val="BalloonText"/>
    <w:uiPriority w:val="99"/>
    <w:semiHidden/>
    <w:rsid w:val="000D0DE4"/>
    <w:rPr>
      <w:rFonts w:ascii="Lucida Grande" w:hAnsi="Lucida Grande" w:cs="Lucida Grande"/>
      <w:sz w:val="18"/>
      <w:szCs w:val="18"/>
    </w:rPr>
  </w:style>
  <w:style w:type="paragraph" w:styleId="Header">
    <w:name w:val="header"/>
    <w:basedOn w:val="Normal"/>
    <w:link w:val="HeaderChar"/>
    <w:unhideWhenUsed/>
    <w:rsid w:val="000D0DE4"/>
    <w:pPr>
      <w:tabs>
        <w:tab w:val="center" w:pos="4320"/>
        <w:tab w:val="right" w:pos="8640"/>
      </w:tabs>
    </w:pPr>
  </w:style>
  <w:style w:type="character" w:customStyle="1" w:styleId="HeaderChar">
    <w:name w:val="Header Char"/>
    <w:basedOn w:val="DefaultParagraphFont"/>
    <w:link w:val="Header"/>
    <w:uiPriority w:val="99"/>
    <w:rsid w:val="000D0DE4"/>
  </w:style>
  <w:style w:type="paragraph" w:styleId="Footer">
    <w:name w:val="footer"/>
    <w:basedOn w:val="Normal"/>
    <w:link w:val="FooterChar"/>
    <w:unhideWhenUsed/>
    <w:rsid w:val="000D0DE4"/>
    <w:pPr>
      <w:tabs>
        <w:tab w:val="center" w:pos="4320"/>
        <w:tab w:val="right" w:pos="8640"/>
      </w:tabs>
    </w:pPr>
  </w:style>
  <w:style w:type="character" w:customStyle="1" w:styleId="FooterChar">
    <w:name w:val="Footer Char"/>
    <w:basedOn w:val="DefaultParagraphFont"/>
    <w:link w:val="Footer"/>
    <w:uiPriority w:val="99"/>
    <w:rsid w:val="000D0DE4"/>
  </w:style>
  <w:style w:type="character" w:styleId="Hyperlink">
    <w:name w:val="Hyperlink"/>
    <w:uiPriority w:val="99"/>
    <w:unhideWhenUsed/>
    <w:rsid w:val="00ED7987"/>
  </w:style>
  <w:style w:type="character" w:customStyle="1" w:styleId="Heading1Char">
    <w:name w:val="Heading 1 Char"/>
    <w:basedOn w:val="DefaultParagraphFont"/>
    <w:link w:val="Heading1"/>
    <w:rsid w:val="00CF10FA"/>
    <w:rPr>
      <w:rFonts w:ascii="Arial" w:hAnsi="Arial" w:cs="Arial"/>
      <w:color w:val="CD0920"/>
      <w:sz w:val="48"/>
      <w:szCs w:val="48"/>
    </w:rPr>
  </w:style>
  <w:style w:type="paragraph" w:customStyle="1" w:styleId="Logo">
    <w:name w:val="Logo"/>
    <w:basedOn w:val="Normal"/>
    <w:qFormat/>
    <w:rsid w:val="006F1311"/>
    <w:pPr>
      <w:jc w:val="center"/>
    </w:pPr>
  </w:style>
  <w:style w:type="paragraph" w:customStyle="1" w:styleId="AddressBlock">
    <w:name w:val="Address Block"/>
    <w:basedOn w:val="Footer"/>
    <w:qFormat/>
    <w:rsid w:val="006F1311"/>
    <w:pPr>
      <w:spacing w:after="0"/>
      <w:jc w:val="center"/>
    </w:pPr>
    <w:rPr>
      <w:sz w:val="14"/>
    </w:rPr>
  </w:style>
  <w:style w:type="character" w:customStyle="1" w:styleId="Heading2Char">
    <w:name w:val="Heading 2 Char"/>
    <w:basedOn w:val="DefaultParagraphFont"/>
    <w:link w:val="Heading2"/>
    <w:rsid w:val="00AA3B4A"/>
    <w:rPr>
      <w:rFonts w:ascii="Arial" w:hAnsi="Arial" w:cs="Arial"/>
      <w:color w:val="CD0920"/>
      <w:sz w:val="28"/>
      <w:szCs w:val="36"/>
    </w:rPr>
  </w:style>
  <w:style w:type="character" w:customStyle="1" w:styleId="Heading3Char">
    <w:name w:val="Heading 3 Char"/>
    <w:basedOn w:val="DefaultParagraphFont"/>
    <w:link w:val="Heading3"/>
    <w:rsid w:val="006F1311"/>
    <w:rPr>
      <w:rFonts w:ascii="Arial" w:hAnsi="Arial" w:cs="Arial"/>
      <w:color w:val="2797C9"/>
      <w:sz w:val="28"/>
      <w:szCs w:val="28"/>
    </w:rPr>
  </w:style>
  <w:style w:type="paragraph" w:styleId="Title">
    <w:name w:val="Title"/>
    <w:basedOn w:val="Heading3"/>
    <w:next w:val="Normal"/>
    <w:link w:val="TitleChar"/>
    <w:uiPriority w:val="10"/>
    <w:qFormat/>
    <w:rsid w:val="006F1311"/>
    <w:rPr>
      <w:sz w:val="60"/>
      <w:szCs w:val="60"/>
    </w:rPr>
  </w:style>
  <w:style w:type="character" w:customStyle="1" w:styleId="TitleChar">
    <w:name w:val="Title Char"/>
    <w:basedOn w:val="DefaultParagraphFont"/>
    <w:link w:val="Title"/>
    <w:uiPriority w:val="10"/>
    <w:rsid w:val="006F1311"/>
    <w:rPr>
      <w:rFonts w:ascii="Arial" w:hAnsi="Arial" w:cs="Arial"/>
      <w:color w:val="2797C9"/>
      <w:sz w:val="60"/>
      <w:szCs w:val="60"/>
    </w:rPr>
  </w:style>
  <w:style w:type="paragraph" w:styleId="Subtitle">
    <w:name w:val="Subtitle"/>
    <w:basedOn w:val="Title"/>
    <w:next w:val="Normal"/>
    <w:link w:val="SubtitleChar"/>
    <w:uiPriority w:val="11"/>
    <w:qFormat/>
    <w:rsid w:val="006F1311"/>
    <w:pPr>
      <w:spacing w:after="200"/>
    </w:pPr>
    <w:rPr>
      <w:sz w:val="24"/>
      <w:szCs w:val="24"/>
    </w:rPr>
  </w:style>
  <w:style w:type="character" w:customStyle="1" w:styleId="SubtitleChar">
    <w:name w:val="Subtitle Char"/>
    <w:basedOn w:val="DefaultParagraphFont"/>
    <w:link w:val="Subtitle"/>
    <w:uiPriority w:val="11"/>
    <w:rsid w:val="006F1311"/>
    <w:rPr>
      <w:rFonts w:ascii="Arial" w:hAnsi="Arial" w:cs="Arial"/>
      <w:color w:val="2797C9"/>
    </w:rPr>
  </w:style>
  <w:style w:type="character" w:styleId="SubtleEmphasis">
    <w:name w:val="Subtle Emphasis"/>
    <w:uiPriority w:val="19"/>
    <w:qFormat/>
    <w:rsid w:val="00ED7987"/>
    <w:rPr>
      <w:color w:val="A6A6A6" w:themeColor="background1" w:themeShade="A6"/>
    </w:rPr>
  </w:style>
  <w:style w:type="character" w:styleId="Emphasis">
    <w:name w:val="Emphasis"/>
    <w:uiPriority w:val="20"/>
    <w:qFormat/>
    <w:rsid w:val="00ED7987"/>
    <w:rPr>
      <w:b/>
    </w:rPr>
  </w:style>
  <w:style w:type="character" w:styleId="Strong">
    <w:name w:val="Strong"/>
    <w:basedOn w:val="Emphasis"/>
    <w:uiPriority w:val="22"/>
    <w:qFormat/>
    <w:rsid w:val="00ED7987"/>
    <w:rPr>
      <w:b/>
    </w:rPr>
  </w:style>
  <w:style w:type="character" w:styleId="IntenseEmphasis">
    <w:name w:val="Intense Emphasis"/>
    <w:basedOn w:val="Emphasis"/>
    <w:uiPriority w:val="21"/>
    <w:qFormat/>
    <w:rsid w:val="00ED7987"/>
    <w:rPr>
      <w:b/>
      <w:color w:val="00A0DC"/>
    </w:rPr>
  </w:style>
  <w:style w:type="paragraph" w:styleId="IntenseQuote">
    <w:name w:val="Intense Quote"/>
    <w:basedOn w:val="Normal"/>
    <w:next w:val="Normal"/>
    <w:link w:val="IntenseQuoteChar"/>
    <w:uiPriority w:val="30"/>
    <w:qFormat/>
    <w:rsid w:val="00ED7987"/>
  </w:style>
  <w:style w:type="character" w:customStyle="1" w:styleId="IntenseQuoteChar">
    <w:name w:val="Intense Quote Char"/>
    <w:basedOn w:val="DefaultParagraphFont"/>
    <w:link w:val="IntenseQuote"/>
    <w:uiPriority w:val="30"/>
    <w:rsid w:val="00ED7987"/>
    <w:rPr>
      <w:rFonts w:ascii="Arial" w:hAnsi="Arial" w:cs="Arial"/>
      <w:sz w:val="18"/>
      <w:szCs w:val="18"/>
    </w:rPr>
  </w:style>
  <w:style w:type="character" w:styleId="SubtleReference">
    <w:name w:val="Subtle Reference"/>
    <w:basedOn w:val="IntenseQuoteChar"/>
    <w:uiPriority w:val="31"/>
    <w:qFormat/>
    <w:rsid w:val="00ED7987"/>
    <w:rPr>
      <w:rFonts w:ascii="Arial" w:hAnsi="Arial" w:cs="Arial"/>
      <w:sz w:val="18"/>
      <w:szCs w:val="18"/>
    </w:rPr>
  </w:style>
  <w:style w:type="character" w:styleId="IntenseReference">
    <w:name w:val="Intense Reference"/>
    <w:basedOn w:val="SubtleReference"/>
    <w:uiPriority w:val="32"/>
    <w:qFormat/>
    <w:rsid w:val="00ED7987"/>
    <w:rPr>
      <w:rFonts w:ascii="Arial" w:hAnsi="Arial" w:cs="Arial"/>
      <w:sz w:val="18"/>
      <w:szCs w:val="18"/>
    </w:rPr>
  </w:style>
  <w:style w:type="character" w:styleId="BookTitle">
    <w:name w:val="Book Title"/>
    <w:basedOn w:val="Emphasis"/>
    <w:uiPriority w:val="33"/>
    <w:qFormat/>
    <w:rsid w:val="00ED7987"/>
    <w:rPr>
      <w:b/>
    </w:rPr>
  </w:style>
  <w:style w:type="paragraph" w:styleId="ListParagraph">
    <w:name w:val="List Paragraph"/>
    <w:basedOn w:val="Normal"/>
    <w:uiPriority w:val="34"/>
    <w:qFormat/>
    <w:rsid w:val="00611928"/>
    <w:pPr>
      <w:widowControl/>
      <w:autoSpaceDE/>
      <w:autoSpaceDN/>
      <w:adjustRightInd/>
      <w:spacing w:after="200" w:line="276" w:lineRule="auto"/>
      <w:ind w:left="720"/>
      <w:contextualSpacing/>
    </w:pPr>
    <w:rPr>
      <w:rFonts w:asciiTheme="minorHAnsi" w:eastAsiaTheme="minorHAnsi" w:hAnsiTheme="minorHAnsi" w:cstheme="minorBidi"/>
      <w:sz w:val="22"/>
      <w:szCs w:val="22"/>
      <w:lang w:val="en-AU"/>
    </w:rPr>
  </w:style>
  <w:style w:type="paragraph" w:customStyle="1" w:styleId="BasicParagraph">
    <w:name w:val="[Basic Paragraph]"/>
    <w:basedOn w:val="Normal"/>
    <w:uiPriority w:val="99"/>
    <w:rsid w:val="00611928"/>
    <w:pPr>
      <w:suppressAutoHyphens/>
      <w:spacing w:after="0" w:line="288" w:lineRule="auto"/>
      <w:textAlignment w:val="center"/>
    </w:pPr>
    <w:rPr>
      <w:rFonts w:ascii="HelveticaNeue-Light" w:hAnsi="HelveticaNeue-Light" w:cs="HelveticaNeue-Light"/>
      <w:color w:val="000000"/>
      <w:szCs w:val="20"/>
    </w:rPr>
  </w:style>
  <w:style w:type="character" w:customStyle="1" w:styleId="Heading4Char">
    <w:name w:val="Heading 4 Char"/>
    <w:basedOn w:val="DefaultParagraphFont"/>
    <w:link w:val="Heading4"/>
    <w:rsid w:val="00AA3B4A"/>
    <w:rPr>
      <w:rFonts w:asciiTheme="majorHAnsi" w:eastAsiaTheme="majorEastAsia" w:hAnsiTheme="majorHAnsi" w:cstheme="majorBidi"/>
      <w:b/>
      <w:bCs/>
      <w:i/>
      <w:iCs/>
      <w:color w:val="4F81BD" w:themeColor="accent1"/>
      <w:sz w:val="18"/>
      <w:szCs w:val="18"/>
    </w:rPr>
  </w:style>
  <w:style w:type="character" w:customStyle="1" w:styleId="Heading5Char">
    <w:name w:val="Heading 5 Char"/>
    <w:basedOn w:val="DefaultParagraphFont"/>
    <w:link w:val="Heading5"/>
    <w:rsid w:val="00AA3B4A"/>
    <w:rPr>
      <w:rFonts w:asciiTheme="majorHAnsi" w:eastAsiaTheme="majorEastAsia" w:hAnsiTheme="majorHAnsi" w:cstheme="majorBidi"/>
      <w:color w:val="243F60" w:themeColor="accent1" w:themeShade="7F"/>
      <w:sz w:val="18"/>
      <w:szCs w:val="18"/>
    </w:rPr>
  </w:style>
  <w:style w:type="character" w:customStyle="1" w:styleId="Heading6Char">
    <w:name w:val="Heading 6 Char"/>
    <w:basedOn w:val="DefaultParagraphFont"/>
    <w:link w:val="Heading6"/>
    <w:rsid w:val="00AA3B4A"/>
    <w:rPr>
      <w:rFonts w:ascii="Tahoma" w:eastAsia="Times New Roman" w:hAnsi="Tahoma" w:cs="Times New Roman"/>
      <w:bCs/>
      <w:sz w:val="20"/>
      <w:szCs w:val="22"/>
      <w:lang w:val="en-AU"/>
    </w:rPr>
  </w:style>
  <w:style w:type="character" w:customStyle="1" w:styleId="Heading7Char">
    <w:name w:val="Heading 7 Char"/>
    <w:basedOn w:val="DefaultParagraphFont"/>
    <w:link w:val="Heading7"/>
    <w:rsid w:val="00AA3B4A"/>
    <w:rPr>
      <w:rFonts w:ascii="Tahoma" w:eastAsia="Times New Roman" w:hAnsi="Tahoma" w:cs="Times New Roman"/>
      <w:sz w:val="20"/>
      <w:lang w:val="en-AU"/>
    </w:rPr>
  </w:style>
  <w:style w:type="character" w:customStyle="1" w:styleId="Heading8Char">
    <w:name w:val="Heading 8 Char"/>
    <w:basedOn w:val="DefaultParagraphFont"/>
    <w:link w:val="Heading8"/>
    <w:rsid w:val="00AA3B4A"/>
    <w:rPr>
      <w:rFonts w:ascii="Tahoma" w:eastAsia="Times New Roman" w:hAnsi="Tahoma" w:cs="Times New Roman"/>
      <w:iCs/>
      <w:sz w:val="20"/>
      <w:lang w:val="en-AU"/>
    </w:rPr>
  </w:style>
  <w:style w:type="character" w:customStyle="1" w:styleId="Heading9Char">
    <w:name w:val="Heading 9 Char"/>
    <w:basedOn w:val="DefaultParagraphFont"/>
    <w:link w:val="Heading9"/>
    <w:rsid w:val="00AA3B4A"/>
    <w:rPr>
      <w:rFonts w:ascii="Tahoma" w:eastAsia="Times New Roman" w:hAnsi="Tahoma" w:cs="Arial"/>
      <w:sz w:val="20"/>
      <w:szCs w:val="22"/>
      <w:lang w:val="en-AU"/>
    </w:rPr>
  </w:style>
  <w:style w:type="paragraph" w:customStyle="1" w:styleId="BodyText">
    <w:name w:val="BodyText"/>
    <w:basedOn w:val="Normal"/>
    <w:rsid w:val="00AA3B4A"/>
    <w:pPr>
      <w:widowControl/>
      <w:autoSpaceDE/>
      <w:autoSpaceDN/>
      <w:adjustRightInd/>
      <w:spacing w:before="240" w:after="0" w:line="240" w:lineRule="auto"/>
      <w:ind w:left="709"/>
    </w:pPr>
    <w:rPr>
      <w:rFonts w:ascii="Tahoma" w:eastAsia="Times New Roman" w:hAnsi="Tahoma" w:cs="Times New Roman"/>
      <w:szCs w:val="24"/>
      <w:lang w:val="en-AU"/>
    </w:rPr>
  </w:style>
  <w:style w:type="paragraph" w:customStyle="1" w:styleId="DocHead">
    <w:name w:val="DocHead"/>
    <w:basedOn w:val="Normal"/>
    <w:next w:val="DocSubHead"/>
    <w:rsid w:val="00AA3B4A"/>
    <w:pPr>
      <w:keepNext/>
      <w:widowControl/>
      <w:autoSpaceDE/>
      <w:autoSpaceDN/>
      <w:adjustRightInd/>
      <w:spacing w:after="0" w:line="240" w:lineRule="auto"/>
    </w:pPr>
    <w:rPr>
      <w:rFonts w:ascii="Tahoma" w:eastAsia="Times New Roman" w:hAnsi="Tahoma" w:cs="Times New Roman"/>
      <w:sz w:val="40"/>
      <w:szCs w:val="24"/>
      <w:lang w:val="en-AU"/>
    </w:rPr>
  </w:style>
  <w:style w:type="paragraph" w:customStyle="1" w:styleId="DocSubHead">
    <w:name w:val="DocSubHead"/>
    <w:basedOn w:val="Normal"/>
    <w:next w:val="Normal"/>
    <w:rsid w:val="00AA3B4A"/>
    <w:pPr>
      <w:keepNext/>
      <w:widowControl/>
      <w:autoSpaceDE/>
      <w:autoSpaceDN/>
      <w:adjustRightInd/>
      <w:spacing w:before="240" w:after="0" w:line="240" w:lineRule="auto"/>
    </w:pPr>
    <w:rPr>
      <w:rFonts w:ascii="Tahoma" w:eastAsia="Times New Roman" w:hAnsi="Tahoma" w:cs="Times New Roman"/>
      <w:sz w:val="28"/>
      <w:szCs w:val="24"/>
      <w:lang w:val="en-AU"/>
    </w:rPr>
  </w:style>
  <w:style w:type="paragraph" w:customStyle="1" w:styleId="LetterBodyText">
    <w:name w:val="LetterBodyText"/>
    <w:basedOn w:val="Normal"/>
    <w:rsid w:val="00AA3B4A"/>
    <w:pPr>
      <w:widowControl/>
      <w:autoSpaceDE/>
      <w:autoSpaceDN/>
      <w:adjustRightInd/>
      <w:spacing w:before="240" w:after="0" w:line="240" w:lineRule="auto"/>
    </w:pPr>
    <w:rPr>
      <w:rFonts w:ascii="Tahoma" w:eastAsia="Times New Roman" w:hAnsi="Tahoma" w:cs="Times New Roman"/>
      <w:szCs w:val="24"/>
      <w:lang w:val="en-AU"/>
    </w:rPr>
  </w:style>
  <w:style w:type="paragraph" w:customStyle="1" w:styleId="Line">
    <w:name w:val="Line"/>
    <w:basedOn w:val="Normal"/>
    <w:next w:val="LetterBodyText"/>
    <w:rsid w:val="00AA3B4A"/>
    <w:pPr>
      <w:widowControl/>
      <w:pBdr>
        <w:bottom w:val="single" w:sz="4" w:space="1" w:color="auto"/>
      </w:pBdr>
      <w:autoSpaceDE/>
      <w:autoSpaceDN/>
      <w:adjustRightInd/>
      <w:spacing w:after="0" w:line="240" w:lineRule="auto"/>
    </w:pPr>
    <w:rPr>
      <w:rFonts w:ascii="Tahoma" w:eastAsia="Times New Roman" w:hAnsi="Tahoma" w:cs="Times New Roman"/>
      <w:szCs w:val="24"/>
      <w:lang w:val="en-AU"/>
    </w:rPr>
  </w:style>
  <w:style w:type="paragraph" w:styleId="TOC1">
    <w:name w:val="toc 1"/>
    <w:basedOn w:val="Normal"/>
    <w:next w:val="Normal"/>
    <w:uiPriority w:val="39"/>
    <w:rsid w:val="00AA3B4A"/>
    <w:pPr>
      <w:widowControl/>
      <w:tabs>
        <w:tab w:val="left" w:pos="709"/>
        <w:tab w:val="right" w:leader="hyphen" w:pos="9354"/>
      </w:tabs>
      <w:autoSpaceDE/>
      <w:autoSpaceDN/>
      <w:adjustRightInd/>
      <w:spacing w:before="240" w:after="0" w:line="240" w:lineRule="auto"/>
      <w:ind w:left="709" w:hanging="709"/>
    </w:pPr>
    <w:rPr>
      <w:rFonts w:ascii="Tahoma" w:eastAsia="Times New Roman" w:hAnsi="Tahoma" w:cs="Times New Roman"/>
      <w:b/>
      <w:sz w:val="19"/>
      <w:szCs w:val="24"/>
      <w:lang w:val="en-AU"/>
    </w:rPr>
  </w:style>
  <w:style w:type="paragraph" w:customStyle="1" w:styleId="TableSubHeading">
    <w:name w:val="TableSubHeading"/>
    <w:basedOn w:val="Normal"/>
    <w:rsid w:val="00AA3B4A"/>
    <w:pPr>
      <w:keepNext/>
      <w:widowControl/>
      <w:autoSpaceDE/>
      <w:autoSpaceDN/>
      <w:adjustRightInd/>
      <w:spacing w:before="60" w:after="60" w:line="240" w:lineRule="auto"/>
    </w:pPr>
    <w:rPr>
      <w:rFonts w:ascii="Tahoma" w:eastAsia="Times New Roman" w:hAnsi="Tahoma" w:cs="Times New Roman"/>
      <w:b/>
      <w:szCs w:val="24"/>
      <w:lang w:val="en-AU"/>
    </w:rPr>
  </w:style>
  <w:style w:type="paragraph" w:customStyle="1" w:styleId="TableText">
    <w:name w:val="TableText"/>
    <w:basedOn w:val="Normal"/>
    <w:rsid w:val="00AA3B4A"/>
    <w:pPr>
      <w:widowControl/>
      <w:autoSpaceDE/>
      <w:autoSpaceDN/>
      <w:adjustRightInd/>
      <w:spacing w:before="60" w:after="60" w:line="240" w:lineRule="auto"/>
    </w:pPr>
    <w:rPr>
      <w:rFonts w:ascii="Tahoma" w:eastAsia="Times New Roman" w:hAnsi="Tahoma" w:cs="Times New Roman"/>
      <w:szCs w:val="24"/>
      <w:lang w:val="en-AU"/>
    </w:rPr>
  </w:style>
  <w:style w:type="paragraph" w:styleId="TOC2">
    <w:name w:val="toc 2"/>
    <w:basedOn w:val="Normal"/>
    <w:next w:val="Normal"/>
    <w:autoRedefine/>
    <w:uiPriority w:val="39"/>
    <w:unhideWhenUsed/>
    <w:rsid w:val="006D2743"/>
    <w:pPr>
      <w:spacing w:after="100"/>
      <w:ind w:left="200"/>
    </w:pPr>
  </w:style>
  <w:style w:type="paragraph" w:styleId="TOC3">
    <w:name w:val="toc 3"/>
    <w:basedOn w:val="Normal"/>
    <w:next w:val="Normal"/>
    <w:autoRedefine/>
    <w:uiPriority w:val="39"/>
    <w:unhideWhenUsed/>
    <w:rsid w:val="006D2743"/>
    <w:pPr>
      <w:spacing w:after="100"/>
      <w:ind w:left="400"/>
    </w:pPr>
  </w:style>
  <w:style w:type="paragraph" w:styleId="TOC4">
    <w:name w:val="toc 4"/>
    <w:basedOn w:val="Normal"/>
    <w:next w:val="Normal"/>
    <w:autoRedefine/>
    <w:uiPriority w:val="39"/>
    <w:unhideWhenUsed/>
    <w:rsid w:val="006D2743"/>
    <w:pPr>
      <w:spacing w:after="100"/>
      <w:ind w:left="600"/>
    </w:pPr>
  </w:style>
  <w:style w:type="paragraph" w:styleId="Revision">
    <w:name w:val="Revision"/>
    <w:hidden/>
    <w:uiPriority w:val="99"/>
    <w:semiHidden/>
    <w:rsid w:val="00941D34"/>
    <w:rPr>
      <w:rFonts w:ascii="Arial" w:hAnsi="Arial" w:cs="Arial"/>
      <w:sz w:val="20"/>
      <w:szCs w:val="18"/>
    </w:rPr>
  </w:style>
  <w:style w:type="paragraph" w:styleId="BodyText0">
    <w:name w:val="Body Text"/>
    <w:basedOn w:val="Normal"/>
    <w:link w:val="BodyTextChar"/>
    <w:uiPriority w:val="1"/>
    <w:qFormat/>
    <w:rsid w:val="001F7C8A"/>
    <w:pPr>
      <w:autoSpaceDE/>
      <w:autoSpaceDN/>
      <w:adjustRightInd/>
      <w:spacing w:after="0" w:line="240" w:lineRule="auto"/>
      <w:ind w:left="685"/>
    </w:pPr>
    <w:rPr>
      <w:rFonts w:eastAsia="Arial" w:cstheme="minorBidi"/>
      <w:sz w:val="22"/>
      <w:szCs w:val="22"/>
    </w:rPr>
  </w:style>
  <w:style w:type="character" w:customStyle="1" w:styleId="BodyTextChar">
    <w:name w:val="Body Text Char"/>
    <w:basedOn w:val="DefaultParagraphFont"/>
    <w:link w:val="BodyText0"/>
    <w:uiPriority w:val="1"/>
    <w:rsid w:val="001F7C8A"/>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1774">
      <w:bodyDiv w:val="1"/>
      <w:marLeft w:val="0"/>
      <w:marRight w:val="0"/>
      <w:marTop w:val="0"/>
      <w:marBottom w:val="0"/>
      <w:divBdr>
        <w:top w:val="none" w:sz="0" w:space="0" w:color="auto"/>
        <w:left w:val="none" w:sz="0" w:space="0" w:color="auto"/>
        <w:bottom w:val="none" w:sz="0" w:space="0" w:color="auto"/>
        <w:right w:val="none" w:sz="0" w:space="0" w:color="auto"/>
      </w:divBdr>
    </w:div>
    <w:div w:id="580868345">
      <w:bodyDiv w:val="1"/>
      <w:marLeft w:val="0"/>
      <w:marRight w:val="0"/>
      <w:marTop w:val="0"/>
      <w:marBottom w:val="0"/>
      <w:divBdr>
        <w:top w:val="none" w:sz="0" w:space="0" w:color="auto"/>
        <w:left w:val="none" w:sz="0" w:space="0" w:color="auto"/>
        <w:bottom w:val="none" w:sz="0" w:space="0" w:color="auto"/>
        <w:right w:val="none" w:sz="0" w:space="0" w:color="auto"/>
      </w:divBdr>
    </w:div>
    <w:div w:id="1556892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apital%20B:Design:Megaport:Identity:Stationery:Electronic:Letterhead:Mega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FD03-ADF6-7247-9981-CBE53DB9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B:Design:Megaport:Identity:Stationery:Electronic:Letterhead:Megaport.dotx</Template>
  <TotalTime>1</TotalTime>
  <Pages>10</Pages>
  <Words>2610</Words>
  <Characters>14882</Characters>
  <Application>Microsoft Macintosh Word</Application>
  <DocSecurity>0</DocSecurity>
  <Lines>124</Lines>
  <Paragraphs>34</Paragraphs>
  <ScaleCrop>false</ScaleCrop>
  <HeadingPairs>
    <vt:vector size="4" baseType="variant">
      <vt:variant>
        <vt:lpstr>Title</vt:lpstr>
      </vt:variant>
      <vt:variant>
        <vt:i4>1</vt:i4>
      </vt:variant>
      <vt:variant>
        <vt:lpstr>Headings</vt:lpstr>
      </vt:variant>
      <vt:variant>
        <vt:i4>96</vt:i4>
      </vt:variant>
    </vt:vector>
  </HeadingPairs>
  <TitlesOfParts>
    <vt:vector size="97" baseType="lpstr">
      <vt:lpstr/>
      <vt:lpstr/>
      <vt:lpstr/>
      <vt:lpstr/>
      <vt:lpstr/>
      <vt:lpstr/>
      <vt:lpstr/>
      <vt:lpstr>Continuous Disclosure Policy</vt:lpstr>
      <vt:lpstr>Megaport Limited</vt:lpstr>
      <vt:lpstr>Introduction</vt:lpstr>
      <vt:lpstr>        As an ASX listed company, Megaport is required to comply with the ‘continuous di</vt:lpstr>
      <vt:lpstr>        This policy reflects how Megaport will deal with its continuous disclosure oblig</vt:lpstr>
      <vt:lpstr>Legal Obligations</vt:lpstr>
      <vt:lpstr>    Need for this policy</vt:lpstr>
      <vt:lpstr>    Source of obligations</vt:lpstr>
      <vt:lpstr>    What is Price Sensitive Information?</vt:lpstr>
      <vt:lpstr>    </vt:lpstr>
      <vt:lpstr>    Information which must be disclosed</vt:lpstr>
      <vt:lpstr>        There is specific information that ASX has determined must be disclosed in accor</vt:lpstr>
      <vt:lpstr>        certain information regarding the Company’s capital, including a proposed issue </vt:lpstr>
      <vt:lpstr>        a change to the exercise price of an option, or the number of underlying Securit</vt:lpstr>
      <vt:lpstr>        the outcome of each resolution put to a meeting of the Company’s shareholders (A</vt:lpstr>
      <vt:lpstr>        a change to the Company’s address, telephone or fax number (ASX Listing Rule 3.1</vt:lpstr>
      <vt:lpstr>        a change to the Company’s auditor (ASX Listing Rule 3.16.3);</vt:lpstr>
      <vt:lpstr>        the material terms of, and any material variation to, any employment, service or</vt:lpstr>
      <vt:lpstr>        information about the beneficial ownership of Securities obtained under Part 6C.</vt:lpstr>
      <vt:lpstr>        information about any meetings that have been requisitioned by the Company’s sha</vt:lpstr>
      <vt:lpstr>        a decision to pay, or not pay, a dividend or distribution (ASX Listing Rule 3.21</vt:lpstr>
      <vt:lpstr>        Exceptions to the disclosure requirements</vt:lpstr>
      <vt:lpstr>        Disclosure under Listing Rule 3.1 is not required and does not apply to informat</vt:lpstr>
      <vt:lpstr>        one or more of the following applies:</vt:lpstr>
      <vt:lpstr>        it would be a breach of a law to disclose the information;</vt:lpstr>
      <vt:lpstr>        the information concerns an incomplete proposal or negotiation;</vt:lpstr>
      <vt:lpstr>        the information comprises matters of supposition or is insufficiently definite t</vt:lpstr>
      <vt:lpstr>        the information is generated for the internal management purposes of the entity;</vt:lpstr>
      <vt:lpstr>        the information is a trade secret; and</vt:lpstr>
      <vt:lpstr>        the information is confidential and ASX has not formed the view that the informa</vt:lpstr>
      <vt:lpstr>        a reasonable person would not expect the information to be disclosed.</vt:lpstr>
      <vt:lpstr>        The exception operates only for as long as all three conditions are satisfied.  </vt:lpstr>
      <vt:lpstr>Megaport Policies and Procedures</vt:lpstr>
      <vt:lpstr>    Board responsibilities</vt:lpstr>
      <vt:lpstr>    The Board is responsible for:</vt:lpstr>
      <vt:lpstr>        communicating with ASX;</vt:lpstr>
      <vt:lpstr>        monitoring the Company’s compliance with its continuous disclosure obligations;</vt:lpstr>
      <vt:lpstr>        ensuring adequate processes and controls are in place for the identification, re</vt:lpstr>
      <vt:lpstr>        ensuring that Staff are educated on the Policy and the internal reporting proces</vt:lpstr>
      <vt:lpstr>        where requested to do so, reviewing media announcements proposed to be made by t</vt:lpstr>
      <vt:lpstr>        The Company has appointed the Company Secretary as the person responsible for co</vt:lpstr>
      <vt:lpstr>    </vt:lpstr>
      <vt:lpstr>    General reporting procedure for Directors and Staff</vt:lpstr>
      <vt:lpstr>        When Directors or Staff become aware of information which they believe may need </vt:lpstr>
      <vt:lpstr>        review the information and assess whether it is Price Sensitive Information and </vt:lpstr>
      <vt:lpstr>        prepare a draft Continuous Disclosure Announcement, if disclosure is required;</vt:lpstr>
      <vt:lpstr>        consult with the Board as necessary and where reasonably practicable, obtain the</vt:lpstr>
      <vt:lpstr>        It should be noted, however, that the obligation to notify ASX of Price Sensitiv</vt:lpstr>
      <vt:lpstr>        ASX announcements that are administrative and routine may be prepared by the Com</vt:lpstr>
      <vt:lpstr>        Release of information to the public</vt:lpstr>
      <vt:lpstr>        Megaport must not publicly disclose Price Sensitive Information until it has giv</vt:lpstr>
      <vt:lpstr>        If Price Sensitive Information is inadvertently disclosed or a Director or Staff</vt:lpstr>
      <vt:lpstr>    Requirement to disclose immediately</vt:lpstr>
      <vt:lpstr>        ASX has given guidance that the obligation to disclose Price Sensitive Informati</vt:lpstr>
      <vt:lpstr>        Accordingly, if the obligation to disclose is triggered overnight or on the week</vt:lpstr>
      <vt:lpstr>    Speculation and rumours</vt:lpstr>
      <vt:lpstr>        Generally, the Company will not respond to market speculation or rumours unless </vt:lpstr>
      <vt:lpstr>        the relevant material is reasonably accurate and reasonably specific to a matter</vt:lpstr>
      <vt:lpstr>        there are factual errors contained in the speculation or rumour that could mater</vt:lpstr>
      <vt:lpstr>        there is a move in the price of Securities which is reasonably referable to the </vt:lpstr>
      <vt:lpstr>        the Company receives a formal request from ASX or a regulator (e.g. requiring th</vt:lpstr>
      <vt:lpstr>    False market</vt:lpstr>
      <vt:lpstr>        If ASX considers that there is or is likely to be a false market in Securities a</vt:lpstr>
      <vt:lpstr>        the Company has information that has not been released to the market because it </vt:lpstr>
      <vt:lpstr>        there is a reasonably specific rumour or media comment in relation to the Compan</vt:lpstr>
      <vt:lpstr>        there is evidence that the rumour or comment is having, or ASX forms the view th</vt:lpstr>
      <vt:lpstr>    Trading halts and voluntary suspensions</vt:lpstr>
      <vt:lpstr>        The Company recognises that in certain circumstances it may be appropriate for t</vt:lpstr>
      <vt:lpstr>        confidential information about the Company has inadvertently made been public an</vt:lpstr>
      <vt:lpstr>        the Company is preparing to make a major announcement and is concerned to preven</vt:lpstr>
      <vt:lpstr>        If such a circumstance arises only the Board can authorise a request for a tradi</vt:lpstr>
      <vt:lpstr>        If the Company does not expect to be able to make an announcement regarding the </vt:lpstr>
      <vt:lpstr>Other communications</vt:lpstr>
      <vt:lpstr>    Analyst and institutional investors</vt:lpstr>
      <vt:lpstr>        The Company may conduct briefings for analysts and institutional investors from </vt:lpstr>
      <vt:lpstr>        the company will not disclose Price Sensitive Information at any meeting with an</vt:lpstr>
      <vt:lpstr>        ensure all responses are balanced, factual and truthful;</vt:lpstr>
      <vt:lpstr>        the Company will not comment on price sensitive issues not already disclosed to </vt:lpstr>
      <vt:lpstr>        any questions raised in relation to price sensitive issues not already disclosed</vt:lpstr>
      <vt:lpstr>        If a question is taken on notice and the answer would involve the release of Pri</vt:lpstr>
      <vt:lpstr>    Media</vt:lpstr>
      <vt:lpstr>        Megaport must not provide information to the media that contains material or Pri</vt:lpstr>
      <vt:lpstr>        Where the Board considers it appropriate, the media may be invited to participat</vt:lpstr>
      <vt:lpstr>        Press releases should be honest, fair and consistent with the terms of this poli</vt:lpstr>
      <vt:lpstr>    Shareholder Communication</vt:lpstr>
      <vt:lpstr>        The Company produces financial reports and an annual report in accordance with t</vt:lpstr>
      <vt:lpstr>        The Company’s website contains information about the Company including sharehold</vt:lpstr>
      <vt:lpstr>        General meetings are used to communicate with shareholders and allow an opportun</vt:lpstr>
      <vt:lpstr/>
      <vt:lpstr>Definitions and Interpretation</vt:lpstr>
    </vt:vector>
  </TitlesOfParts>
  <Company>Zerofuse</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Ernst</dc:creator>
  <cp:keywords/>
  <dc:description/>
  <cp:lastModifiedBy>Author</cp:lastModifiedBy>
  <cp:revision>2</cp:revision>
  <cp:lastPrinted>2015-04-24T08:22:00Z</cp:lastPrinted>
  <dcterms:created xsi:type="dcterms:W3CDTF">2016-06-24T04:52:00Z</dcterms:created>
  <dcterms:modified xsi:type="dcterms:W3CDTF">2016-06-24T04:52:00Z</dcterms:modified>
</cp:coreProperties>
</file>